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describe the reign of David </w:t>
      </w:r>
    </w:p>
    <w:p>
      <w:pPr>
        <w:pStyle w:val="ListNumber"/>
        <w:spacing w:line="240" w:lineRule="auto"/>
        <w:ind w:left="720"/>
      </w:pPr>
      <w:r>
        <w:rPr>
          <w:lang w:val="en_US" w:bidi="en_US"/>
        </w:rPr>
      </w:r>
      <w:r>
        <w:rPr>
          <w:lang w:val="en_US" w:bidi="en_US"/>
        </w:rPr>
        <w:t>To demonstrate God’s commitment to David’s line</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1011–971 BC</w:t>
      </w:r>
    </w:p>
    <w:p>
      <w:pPr>
        <w:pStyle w:val="Heading3"/>
      </w:pPr>
      <w:r>
        <w:rPr>
          <w:lang w:val="en_US" w:bidi="en_US"/>
        </w:rPr>
        <w:t>Setting</w:t>
      </w:r>
    </w:p>
    <w:p>
      <w:pPr/>
      <w:r>
        <w:rPr>
          <w:lang w:val="en_US" w:bidi="en_US"/>
        </w:rPr>
      </w:r>
      <w:r>
        <w:rPr>
          <w:lang w:val="en_US" w:bidi="en_US"/>
        </w:rPr>
        <w:t>Following King Saul’s death, David sought to establish his throne over all Israel and to expand Israelite territory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