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EZR</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Ezra</w:t>
      </w:r>
      <w:r>
        <w:rPr>
          <w:lang w:val="en_US" w:bidi="en_US"/>
        </w:rPr>
      </w:r>
    </w:p>
    <w:p>
      <w:pPr>
        <w:pStyle w:val="Heading3"/>
      </w:pPr>
      <w:r>
        <w:rPr>
          <w:lang w:val="en_US" w:bidi="en_US"/>
        </w:rPr>
        <w:t>Purpose</w:t>
      </w:r>
    </w:p>
    <w:p>
      <w:pPr>
        <w:pStyle w:val="ListNumber"/>
        <w:numPr>
          <w:ilvl w:val="0"/>
          <w:numId w:val="14"/>
        </w:numPr>
        <w:spacing w:line="240" w:lineRule="auto"/>
        <w:ind w:left="720"/>
      </w:pPr>
      <w:r>
        <w:rPr>
          <w:lang w:val="en_US" w:bidi="en_US"/>
        </w:rPr>
      </w:r>
      <w:r>
        <w:rPr>
          <w:lang w:val="en_US" w:bidi="en_US"/>
        </w:rPr>
        <w:t xml:space="preserve">To demonstrate God’s continued provision for his people </w:t>
      </w:r>
    </w:p>
    <w:p>
      <w:pPr>
        <w:pStyle w:val="ListNumber"/>
        <w:spacing w:line="240" w:lineRule="auto"/>
        <w:ind w:left="720"/>
      </w:pPr>
      <w:r>
        <w:rPr>
          <w:lang w:val="en_US" w:bidi="en_US"/>
        </w:rPr>
      </w:r>
      <w:r>
        <w:rPr>
          <w:lang w:val="en_US" w:bidi="en_US"/>
        </w:rPr>
        <w:t>To show how to live when faced with foreign control, opposition, and pagan influence</w:t>
      </w:r>
    </w:p>
    <w:p>
      <w:pPr>
        <w:pStyle w:val="Heading3"/>
      </w:pPr>
      <w:r>
        <w:rPr>
          <w:lang w:val="en_US" w:bidi="en_US"/>
        </w:rPr>
        <w:t>Author</w:t>
      </w:r>
    </w:p>
    <w:p>
      <w:pPr/>
      <w:r>
        <w:rPr>
          <w:lang w:val="en_US" w:bidi="en_US"/>
        </w:rPr>
      </w:r>
      <w:r>
        <w:rPr>
          <w:lang w:val="en_US" w:bidi="en_US"/>
        </w:rPr>
        <w:t>Ezra, according to tradition</w:t>
      </w:r>
    </w:p>
    <w:p>
      <w:pPr>
        <w:pStyle w:val="Heading3"/>
      </w:pPr>
      <w:r>
        <w:rPr>
          <w:lang w:val="en_US" w:bidi="en_US"/>
        </w:rPr>
        <w:t>Date</w:t>
      </w:r>
    </w:p>
    <w:p>
      <w:pPr/>
      <w:r>
        <w:rPr>
          <w:lang w:val="en_US" w:bidi="en_US"/>
        </w:rPr>
      </w:r>
      <w:r>
        <w:rPr>
          <w:lang w:val="en_US" w:bidi="en_US"/>
        </w:rPr>
        <w:t>Records events that occurred around 538–457 BC</w:t>
      </w:r>
    </w:p>
    <w:p>
      <w:pPr>
        <w:pStyle w:val="Heading3"/>
      </w:pPr>
      <w:r>
        <w:rPr>
          <w:lang w:val="en_US" w:bidi="en_US"/>
        </w:rPr>
        <w:t>Setting</w:t>
      </w:r>
    </w:p>
    <w:p>
      <w:pPr/>
      <w:r>
        <w:rPr>
          <w:lang w:val="en_US" w:bidi="en_US"/>
        </w:rPr>
      </w:r>
      <w:r>
        <w:rPr>
          <w:lang w:val="en_US" w:bidi="en_US"/>
        </w:rPr>
        <w:t>Jerusalem, beginning with the initial return of Jews from exile in Babylon and ending with Ezra’s arrival there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