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(Book Intro Summaries)</w:t>
      </w:r>
      <w:r>
        <w:rPr>
          <w:lang w:val="fr_FR" w:bidi="fr_FR"/>
        </w:rPr>
      </w:r>
    </w:p>
    <w:p>
      <w:pPr/>
      <w:r>
        <w:rPr>
          <w:lang w:val="fr_FR" w:bidi="fr_FR"/>
        </w:rPr>
      </w:r>
      <w:r>
        <w:rPr>
          <w:b/>
          <w:lang w:val="fr_FR" w:bidi="fr_FR"/>
        </w:rPr>
        <w:t>Aquifer Open Study Notes (Book Intro Summaries)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RUT</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Ruth</w:t>
      </w:r>
      <w:r>
        <w:rPr>
          <w:lang w:val="fr_FR" w:bidi="fr_FR"/>
        </w:rPr>
      </w:r>
    </w:p>
    <w:p>
      <w:pPr/>
      <w:r>
        <w:rPr>
          <w:lang w:val="fr_FR" w:bidi="fr_FR"/>
        </w:rPr>
      </w:r>
      <w:r>
        <w:rPr>
          <w:lang w:val="fr_FR" w:bidi="fr_FR"/>
        </w:rPr>
        <w:t>Le livre de Ruth</w:t>
      </w:r>
    </w:p>
    <w:p>
      <w:pPr>
        <w:pStyle w:val="Heading3"/>
      </w:pPr>
      <w:r>
        <w:rPr>
          <w:lang w:val="fr_FR" w:bidi="fr_FR"/>
        </w:rPr>
        <w:t>Dessein</w:t>
      </w:r>
    </w:p>
    <w:p>
      <w:pPr/>
      <w:r>
        <w:rPr>
          <w:lang w:val="fr_FR" w:bidi="fr_FR"/>
        </w:rPr>
      </w:r>
      <w:r>
        <w:rPr>
          <w:lang w:val="fr_FR" w:bidi="fr_FR"/>
        </w:rPr>
        <w:t>Raconter l’histoire inspirante de Ruth et retracer les origines du roi David</w:t>
      </w:r>
    </w:p>
    <w:p>
      <w:pPr>
        <w:pStyle w:val="Heading3"/>
      </w:pPr>
      <w:r>
        <w:rPr>
          <w:lang w:val="fr_FR" w:bidi="fr_FR"/>
        </w:rPr>
        <w:t>Auteur</w:t>
      </w:r>
    </w:p>
    <w:p>
      <w:pPr/>
      <w:r>
        <w:rPr>
          <w:lang w:val="fr_FR" w:bidi="fr_FR"/>
        </w:rPr>
      </w:r>
      <w:r>
        <w:rPr>
          <w:lang w:val="fr_FR" w:bidi="fr_FR"/>
        </w:rPr>
        <w:t>Inconnue</w:t>
      </w:r>
    </w:p>
    <w:p>
      <w:pPr>
        <w:pStyle w:val="Heading3"/>
      </w:pPr>
      <w:r>
        <w:rPr>
          <w:lang w:val="fr_FR" w:bidi="fr_FR"/>
        </w:rPr>
        <w:t>Date</w:t>
      </w:r>
    </w:p>
    <w:p>
      <w:pPr/>
      <w:r>
        <w:rPr>
          <w:lang w:val="fr_FR" w:bidi="fr_FR"/>
        </w:rPr>
      </w:r>
      <w:r>
        <w:rPr>
          <w:lang w:val="fr_FR" w:bidi="fr_FR"/>
        </w:rPr>
        <w:t>Rapporte des événements survenus vers 1100 av. J.-C.</w:t>
      </w:r>
    </w:p>
    <w:p>
      <w:pPr>
        <w:pStyle w:val="Heading3"/>
      </w:pPr>
      <w:r>
        <w:rPr>
          <w:lang w:val="fr_FR" w:bidi="fr_FR"/>
        </w:rPr>
        <w:t>Cadre</w:t>
      </w:r>
    </w:p>
    <w:p>
      <w:pPr/>
      <w:r>
        <w:rPr>
          <w:lang w:val="fr_FR" w:bidi="fr_FR"/>
        </w:rPr>
      </w:r>
      <w:r>
        <w:rPr>
          <w:lang w:val="fr_FR" w:bidi="fr_FR"/>
        </w:rPr>
        <w:t>Pendant la période des juges, pendant et immédiatement après une famine qui avait frappé Bethléhem</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