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2CH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Chroniques</w:t>
      </w:r>
      <w:r>
        <w:rPr>
          <w:lang w:val="fr_FR" w:bidi="fr_FR"/>
        </w:rPr>
      </w:r>
    </w:p>
    <w:p>
      <w:pPr/>
      <w:r>
        <w:rPr>
          <w:lang w:val="fr_FR" w:bidi="fr_FR"/>
        </w:rPr>
      </w:r>
      <w:r>
        <w:rPr>
          <w:lang w:val="fr_FR" w:bidi="fr_FR"/>
        </w:rPr>
        <w:t>Le deuxième livre des Chroniques</w:t>
      </w:r>
    </w:p>
    <w:p>
      <w:pPr>
        <w:pStyle w:val="Heading3"/>
      </w:pPr>
      <w:r>
        <w:rPr>
          <w:lang w:val="fr_FR" w:bidi="fr_FR"/>
        </w:rPr>
        <w:t>Dessein</w:t>
      </w:r>
    </w:p>
    <w:p>
      <w:pPr/>
      <w:r>
        <w:rPr>
          <w:lang w:val="fr_FR" w:bidi="fr_FR"/>
        </w:rPr>
      </w:r>
      <w:r>
        <w:rPr>
          <w:lang w:val="fr_FR" w:bidi="fr_FR"/>
        </w:rPr>
        <w:t>Inspirer aux lecteurs l’espérance d’un Royaume d’Israël restauré, caractérisé par un juste culte</w:t>
      </w:r>
    </w:p>
    <w:p>
      <w:pPr>
        <w:pStyle w:val="Heading3"/>
      </w:pPr>
      <w:r>
        <w:rPr>
          <w:lang w:val="fr_FR" w:bidi="fr_FR"/>
        </w:rPr>
        <w:t>Auteur</w:t>
      </w:r>
    </w:p>
    <w:p>
      <w:pPr/>
      <w:r>
        <w:rPr>
          <w:lang w:val="fr_FR" w:bidi="fr_FR"/>
        </w:rPr>
      </w:r>
      <w:r>
        <w:rPr>
          <w:lang w:val="fr_FR" w:bidi="fr_FR"/>
        </w:rPr>
        <w:t>Inconnue</w:t>
      </w:r>
    </w:p>
    <w:p>
      <w:pPr>
        <w:pStyle w:val="Heading3"/>
      </w:pPr>
      <w:r>
        <w:rPr>
          <w:lang w:val="fr_FR" w:bidi="fr_FR"/>
        </w:rPr>
        <w:t>Date</w:t>
      </w:r>
    </w:p>
    <w:p>
      <w:pPr/>
      <w:r>
        <w:rPr>
          <w:lang w:val="fr_FR" w:bidi="fr_FR"/>
        </w:rPr>
      </w:r>
      <w:r>
        <w:rPr>
          <w:lang w:val="fr_FR" w:bidi="fr_FR"/>
        </w:rPr>
        <w:t>Probablement écrit vers 400 av. J.-C. ; rapporte des événements survenus vers 971–538 av. J.-C.</w:t>
      </w:r>
    </w:p>
    <w:p>
      <w:pPr>
        <w:pStyle w:val="Heading3"/>
      </w:pPr>
      <w:r>
        <w:rPr>
          <w:lang w:val="fr_FR" w:bidi="fr_FR"/>
        </w:rPr>
        <w:t>Cadre</w:t>
      </w:r>
    </w:p>
    <w:p>
      <w:pPr/>
      <w:r>
        <w:rPr>
          <w:lang w:val="fr_FR" w:bidi="fr_FR"/>
        </w:rPr>
      </w:r>
      <w:r>
        <w:rPr>
          <w:lang w:val="fr_FR" w:bidi="fr_FR"/>
        </w:rPr>
        <w:t>La Judée après l’exil, pendant la domination persane ; le récit commence avec le règne de Salomon et se termine avec l’édit de Cyrus autorisant le peuple à retourner en Judée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