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fr_FR" w:bidi="fr_FR"/>
        </w:rPr>
      </w:r>
    </w:p>
    <w:p>
      <w:pPr>
        <w:pStyle w:val="Heading2"/>
      </w:pPr>
      <w:r>
        <w:rPr>
          <w:lang w:val="fr_FR" w:bidi="fr_FR"/>
        </w:rPr>
        <w:t>Resource: Aquifer Open Study Notes (Book Intro Summaries)</w:t>
      </w:r>
      <w:r>
        <w:rPr>
          <w:lang w:val="fr_FR" w:bidi="fr_FR"/>
        </w:rPr>
      </w:r>
    </w:p>
    <w:p>
      <w:pPr/>
      <w:r>
        <w:rPr>
          <w:lang w:val="fr_FR" w:bidi="fr_FR"/>
        </w:rPr>
      </w:r>
      <w:r>
        <w:rPr>
          <w:b/>
          <w:lang w:val="fr_FR" w:bidi="fr_FR"/>
        </w:rPr>
        <w:t>Aquifer Open Study Notes (Book Intro Summaries)</w:t>
      </w:r>
    </w:p>
    <w:p>
      <w:pPr/>
      <w:r>
        <w:rPr>
          <w:lang w:val="fr_FR" w:bidi="fr_FR"/>
        </w:rPr>
      </w:r>
      <w:r>
        <w:rPr>
          <w:lang w:val="fr_FR" w:bidi="fr_FR"/>
        </w:rPr>
        <w:t xml:space="preserve">This work is an adaptation of </w:t>
      </w:r>
      <w:r>
        <w:rPr>
          <w:lang w:val="fr_FR" w:bidi="fr_FR"/>
        </w:rPr>
        <w:t>Tyndale Open Study Notes</w:t>
      </w:r>
      <w:r>
        <w:rPr>
          <w:lang w:val="fr_FR" w:bidi="fr_FR"/>
        </w:rPr>
        <w:t xml:space="preserve"> © 2023 Tyndale House Publishers, licensed under the CC BY-SA 4.0 license. The adaptation, </w:t>
      </w:r>
      <w:r>
        <w:rPr>
          <w:lang w:val="fr_FR" w:bidi="fr_FR"/>
        </w:rPr>
        <w:t>Aquifer Open Study Notes</w:t>
      </w:r>
      <w:r>
        <w:rPr>
          <w:lang w:val="fr_FR" w:bidi="fr_FR"/>
        </w:rPr>
        <w:t>, was created by Mission Mutual and is also licensed under CC BY-SA 4.0.</w:t>
      </w:r>
    </w:p>
    <w:p>
      <w:pPr/>
      <w:r>
        <w:rPr>
          <w:lang w:val="fr_FR" w:bidi="fr_FR"/>
        </w:rPr>
      </w:r>
      <w:r>
        <w:rPr>
          <w:lang w:val="fr_FR" w:bidi="fr_FR"/>
        </w:rPr>
        <w:t>This resource has been adapted into multiple languages, including English, Tok Pisin, Arabic (عربي), French (Français), Hindi (हिंदी), Indonesian (Bahasa Indonesia), Portuguese (Português), Russian (Русский), Spanish (Español), Swahili (Kiswahili), and Simplified Chinese (简体中文).</w:t>
      </w:r>
      <w:r>
        <w:rPr>
          <w:lang w:val="fr_FR" w:bidi="fr_FR"/>
        </w:rPr>
      </w:r>
      <w:r>
        <w:rPr>
          <w:lang w:val="fr_FR" w:bidi="fr_FR"/>
        </w:rPr>
      </w:r>
    </w:p>
    <w:p>
      <w:pPr>
        <w:pStyle w:val="Heading1"/>
      </w:pPr>
      <w:r>
        <w:rPr>
          <w:lang w:val="fr_FR" w:bidi="fr_FR"/>
        </w:rPr>
        <w:t>Aquifer Open Study Notes (Book Intro Summaries)</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fr_FR" w:bidi="fr_FR"/>
        </w:rPr>
      </w:r>
    </w:p>
    <w:p>
      <w:pPr>
        <w:pStyle w:val="Heading2"/>
      </w:pPr>
      <w:r>
        <w:rPr>
          <w:lang w:val="fr_FR" w:bidi="fr_FR"/>
        </w:rPr>
        <w:t>EPH</w:t>
      </w:r>
      <w:r>
        <w:rPr>
          <w:lang w:val="fr_FR" w:bidi="fr_FR"/>
        </w:rPr>
      </w:r>
    </w:p>
    <w:p>
      <w:pPr/>
      <w:r>
        <w:rPr>
          <w:lang w:val="fr_FR" w:bidi="fr_FR"/>
        </w:rPr>
      </w:r>
      <w:r>
        <w:rPr>
          <w:lang w:val="fr_FR" w:bidi="fr_FR"/>
        </w:rPr>
        <w:t xml:space="preserve"> </w:t>
      </w:r>
      <w:r>
        <w:rPr>
          <w:lang w:val="fr_FR" w:bidi="fr_FR"/>
        </w:rPr>
      </w:r>
      <w:r>
        <w:rPr>
          <w:lang w:val="fr_FR" w:bidi="fr_FR"/>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r>
        <w:rPr>
          <w:lang w:val="fr_FR" w:bidi="fr_FR"/>
        </w:rPr>
      </w:r>
    </w:p>
    <w:p>
      <w:pPr>
        <w:pStyle w:val="Heading2"/>
      </w:pPr>
      <w:r>
        <w:rPr>
          <w:lang w:val="fr_FR" w:bidi="fr_FR"/>
        </w:rPr>
        <w:t>Ephésiens</w:t>
      </w:r>
      <w:r>
        <w:rPr>
          <w:lang w:val="fr_FR" w:bidi="fr_FR"/>
        </w:rPr>
      </w:r>
    </w:p>
    <w:p>
      <w:pPr/>
      <w:r>
        <w:rPr>
          <w:lang w:val="fr_FR" w:bidi="fr_FR"/>
        </w:rPr>
      </w:r>
      <w:r>
        <w:rPr>
          <w:lang w:val="fr_FR" w:bidi="fr_FR"/>
        </w:rPr>
        <w:t>La lettre de Paul aux Ephésiens</w:t>
      </w:r>
    </w:p>
    <w:p>
      <w:pPr>
        <w:pStyle w:val="Heading3"/>
      </w:pPr>
      <w:r>
        <w:rPr>
          <w:lang w:val="fr_FR" w:bidi="fr_FR"/>
        </w:rPr>
        <w:t>Dessein</w:t>
      </w:r>
    </w:p>
    <w:p>
      <w:pPr/>
      <w:r>
        <w:rPr>
          <w:lang w:val="fr_FR" w:bidi="fr_FR"/>
        </w:rPr>
      </w:r>
      <w:r>
        <w:rPr>
          <w:lang w:val="fr_FR" w:bidi="fr_FR"/>
        </w:rPr>
        <w:t>Souligner l’étendue de la grâce de Dieu, encourager l’unité entre croyants d’origine juive et non-juive et manifester ce à quoi ressemble la nouvelle vie en Christ</w:t>
      </w:r>
    </w:p>
    <w:p>
      <w:pPr>
        <w:pStyle w:val="Heading3"/>
      </w:pPr>
      <w:r>
        <w:rPr>
          <w:lang w:val="fr_FR" w:bidi="fr_FR"/>
        </w:rPr>
        <w:t>Auteur</w:t>
      </w:r>
    </w:p>
    <w:p>
      <w:pPr/>
      <w:r>
        <w:rPr>
          <w:lang w:val="fr_FR" w:bidi="fr_FR"/>
        </w:rPr>
      </w:r>
      <w:r>
        <w:rPr>
          <w:lang w:val="fr_FR" w:bidi="fr_FR"/>
        </w:rPr>
        <w:t>Paul</w:t>
      </w:r>
    </w:p>
    <w:p>
      <w:pPr>
        <w:pStyle w:val="Heading3"/>
      </w:pPr>
      <w:r>
        <w:rPr>
          <w:lang w:val="fr_FR" w:bidi="fr_FR"/>
        </w:rPr>
        <w:t>Date</w:t>
      </w:r>
    </w:p>
    <w:p>
      <w:pPr/>
      <w:r>
        <w:rPr>
          <w:lang w:val="fr_FR" w:bidi="fr_FR"/>
        </w:rPr>
      </w:r>
      <w:r>
        <w:rPr>
          <w:lang w:val="fr_FR" w:bidi="fr_FR"/>
        </w:rPr>
        <w:t>Traditionnellement, 60–62 ap. J.-C., mais peut-être plus tôt, vers 53–56 ap. J.-C.</w:t>
      </w:r>
    </w:p>
    <w:p>
      <w:pPr>
        <w:pStyle w:val="Heading3"/>
      </w:pPr>
      <w:r>
        <w:rPr>
          <w:lang w:val="fr_FR" w:bidi="fr_FR"/>
        </w:rPr>
        <w:t>Cadre</w:t>
      </w:r>
    </w:p>
    <w:p>
      <w:pPr/>
      <w:r>
        <w:rPr>
          <w:lang w:val="fr_FR" w:bidi="fr_FR"/>
        </w:rPr>
      </w:r>
      <w:r>
        <w:rPr>
          <w:lang w:val="fr_FR" w:bidi="fr_FR"/>
        </w:rPr>
        <w:t>Écrit alors que Paul était en prison, probablement à Rome ou à Ephèse, alors que la Bonne Nouvelle avait déjà été diffusée dans toute l’Asie mineure et que les croyants de cette région avaient besoin de davantage d’instructions par rapport aux implications de leur nouvelle foi</w:t>
      </w:r>
      <w:r>
        <w:rPr>
          <w:lang w:val="fr_FR" w:bidi="fr_FR"/>
        </w:rPr>
      </w:r>
      <w:r>
        <w:rPr>
          <w:lang w:val="fr_FR" w:bidi="fr_FR"/>
        </w:rPr>
      </w:r>
    </w:p>
    <w:sectPr w:rsidR="00443E2A" w:rsidRPr="00443E2A" w:rsidSect="007E084E">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fr_FR"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