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2TI</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तीमुथियुस</w:t>
      </w:r>
      <w:r>
        <w:rPr>
          <w:lang w:val="hi_IN" w:bidi="hi_IN"/>
        </w:rPr>
      </w:r>
    </w:p>
    <w:p>
      <w:pPr/>
      <w:r>
        <w:rPr>
          <w:lang w:val="hi_IN" w:bidi="hi_IN"/>
        </w:rPr>
      </w:r>
      <w:r>
        <w:rPr>
          <w:lang w:val="hi_IN" w:bidi="hi_IN"/>
        </w:rPr>
        <w:t>तीमुथियुस के नाम पौलुस की दूसरी पत्री</w:t>
      </w:r>
    </w:p>
    <w:p>
      <w:pPr>
        <w:pStyle w:val="Heading3"/>
      </w:pPr>
      <w:r>
        <w:rPr>
          <w:lang w:val="hi_IN" w:bidi="hi_IN"/>
        </w:rPr>
        <w:t>उद्देश्य</w:t>
      </w:r>
    </w:p>
    <w:p>
      <w:pPr/>
      <w:r>
        <w:rPr>
          <w:lang w:val="hi_IN" w:bidi="hi_IN"/>
        </w:rPr>
      </w:r>
      <w:r>
        <w:rPr>
          <w:lang w:val="hi_IN" w:bidi="hi_IN"/>
        </w:rPr>
        <w:t>पौलुस द्वारा आरंभ किए कार्य को निरंतर बनाए रखने के लिए तीमुथियुस को नियुक्त करना और तीमुथियुस को कष्ट सहने में दृढ़ रहने के लिए प्रोत्साहित करना</w:t>
      </w:r>
    </w:p>
    <w:p>
      <w:pPr>
        <w:pStyle w:val="Heading3"/>
      </w:pPr>
      <w:r>
        <w:rPr>
          <w:lang w:val="hi_IN" w:bidi="hi_IN"/>
        </w:rPr>
        <w:t>लेखक</w:t>
      </w:r>
    </w:p>
    <w:p>
      <w:pPr/>
      <w:r>
        <w:rPr>
          <w:lang w:val="hi_IN" w:bidi="hi_IN"/>
        </w:rPr>
      </w:r>
      <w:r>
        <w:rPr>
          <w:lang w:val="hi_IN" w:bidi="hi_IN"/>
        </w:rPr>
        <w:t>पौलुस</w:t>
      </w:r>
    </w:p>
    <w:p>
      <w:pPr>
        <w:pStyle w:val="Heading3"/>
      </w:pPr>
      <w:r>
        <w:rPr>
          <w:lang w:val="hi_IN" w:bidi="hi_IN"/>
        </w:rPr>
        <w:t>तिथि</w:t>
      </w:r>
    </w:p>
    <w:p>
      <w:pPr/>
      <w:r>
        <w:rPr>
          <w:lang w:val="hi_IN" w:bidi="hi_IN"/>
        </w:rPr>
      </w:r>
      <w:r>
        <w:rPr>
          <w:lang w:val="hi_IN" w:bidi="hi_IN"/>
        </w:rPr>
        <w:t>संभवतः 64 ई. सन्. के आसपास</w:t>
      </w:r>
    </w:p>
    <w:p>
      <w:pPr>
        <w:pStyle w:val="Heading3"/>
      </w:pPr>
      <w:r>
        <w:rPr>
          <w:lang w:val="hi_IN" w:bidi="hi_IN"/>
        </w:rPr>
        <w:t>घटनास्थल</w:t>
      </w:r>
    </w:p>
    <w:p>
      <w:pPr/>
      <w:r>
        <w:rPr>
          <w:lang w:val="hi_IN" w:bidi="hi_IN"/>
        </w:rPr>
      </w:r>
      <w:r>
        <w:rPr>
          <w:lang w:val="hi_IN" w:bidi="hi_IN"/>
        </w:rPr>
        <w:t>संभवतः पौलुस के रोम में पुनः बंदीगृह में डाले जाने के समय, उसकी मृत्यु से कुछ ही समय पूर्व लिखी गई—जिसके अवश्यंभावी होने का उसे आभास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