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LEV</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Imamat</w:t>
      </w:r>
      <w:r>
        <w:rPr>
          <w:lang w:val="id_ID" w:bidi="id_ID"/>
        </w:rPr>
      </w:r>
    </w:p>
    <w:p>
      <w:pPr/>
      <w:r>
        <w:rPr>
          <w:lang w:val="id_ID" w:bidi="id_ID"/>
        </w:rPr>
      </w:r>
      <w:r>
        <w:rPr>
          <w:lang w:val="id_ID" w:bidi="id_ID"/>
        </w:rPr>
        <w:t>Kitab Imamat</w:t>
      </w:r>
    </w:p>
    <w:p>
      <w:pPr>
        <w:pStyle w:val="Heading3"/>
      </w:pPr>
      <w:r>
        <w:rPr>
          <w:lang w:val="id_ID" w:bidi="id_ID"/>
        </w:rPr>
        <w:t>Tujuan</w:t>
      </w:r>
    </w:p>
    <w:p>
      <w:pPr/>
      <w:r>
        <w:rPr>
          <w:lang w:val="id_ID" w:bidi="id_ID"/>
        </w:rPr>
      </w:r>
      <w:r>
        <w:rPr>
          <w:lang w:val="id_ID" w:bidi="id_ID"/>
        </w:rPr>
        <w:t>Menyatakan kekudusan Allah dan perintah-Nya agar umat-Nya hidup kudus</w:t>
      </w:r>
    </w:p>
    <w:p>
      <w:pPr>
        <w:pStyle w:val="Heading3"/>
      </w:pPr>
      <w:r>
        <w:rPr>
          <w:lang w:val="id_ID" w:bidi="id_ID"/>
        </w:rPr>
        <w:t>Penulis</w:t>
      </w:r>
    </w:p>
    <w:p>
      <w:pPr/>
      <w:r>
        <w:rPr>
          <w:lang w:val="id_ID" w:bidi="id_ID"/>
        </w:rPr>
      </w:r>
      <w:r>
        <w:rPr>
          <w:lang w:val="id_ID" w:bidi="id_ID"/>
        </w:rPr>
        <w:t>Musa, menurut tradisi</w:t>
      </w:r>
    </w:p>
    <w:p>
      <w:pPr>
        <w:pStyle w:val="Heading3"/>
      </w:pPr>
      <w:r>
        <w:rPr>
          <w:lang w:val="id_ID" w:bidi="id_ID"/>
        </w:rPr>
        <w:t>Tahun penulisan</w:t>
      </w:r>
    </w:p>
    <w:p>
      <w:pPr/>
      <w:r>
        <w:rPr>
          <w:lang w:val="id_ID" w:bidi="id_ID"/>
        </w:rPr>
      </w:r>
      <w:r>
        <w:rPr>
          <w:lang w:val="id_ID" w:bidi="id_ID"/>
        </w:rPr>
        <w:t>Mencatat peristiwa-peristiwa yang kemungkinan terjadi sekitar tahun 1446 SM Atau 1270 SM</w:t>
      </w:r>
    </w:p>
    <w:p>
      <w:pPr>
        <w:pStyle w:val="Heading3"/>
      </w:pPr>
      <w:r>
        <w:rPr>
          <w:lang w:val="id_ID" w:bidi="id_ID"/>
        </w:rPr>
        <w:t>Latar Belakang</w:t>
      </w:r>
    </w:p>
    <w:p>
      <w:pPr/>
      <w:r>
        <w:rPr>
          <w:lang w:val="id_ID" w:bidi="id_ID"/>
        </w:rPr>
      </w:r>
      <w:r>
        <w:rPr>
          <w:lang w:val="id_ID" w:bidi="id_ID"/>
        </w:rPr>
        <w:t>Bangsa Israel ditetapkan sebagai umat kovenan Allah dan berkemah di kaki Gunung Sinai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