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NUM</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Bilangan</w:t>
      </w:r>
      <w:r>
        <w:rPr>
          <w:lang w:val="id_ID" w:bidi="id_ID"/>
        </w:rPr>
      </w:r>
    </w:p>
    <w:p>
      <w:pPr/>
      <w:r>
        <w:rPr>
          <w:lang w:val="id_ID" w:bidi="id_ID"/>
        </w:rPr>
      </w:r>
      <w:r>
        <w:rPr>
          <w:lang w:val="id_ID" w:bidi="id_ID"/>
        </w:rPr>
        <w:t>Kitab Bilangan</w:t>
      </w:r>
    </w:p>
    <w:p>
      <w:pPr>
        <w:pStyle w:val="Heading3"/>
      </w:pPr>
      <w:r>
        <w:rPr>
          <w:lang w:val="id_ID" w:bidi="id_ID"/>
        </w:rPr>
        <w:t>Tujuan</w:t>
      </w:r>
    </w:p>
    <w:p>
      <w:pPr/>
      <w:r>
        <w:rPr>
          <w:lang w:val="id_ID" w:bidi="id_ID"/>
        </w:rPr>
      </w:r>
      <w:r>
        <w:rPr>
          <w:lang w:val="id_ID" w:bidi="id_ID"/>
        </w:rPr>
        <w:t>Mendokumentasikan peralihan dari generasi yang tidak setia, yang meninggalkan Mesir, kepada generasi yang akan memasuki Tanah Perjanjian</w:t>
      </w:r>
    </w:p>
    <w:p>
      <w:pPr>
        <w:pStyle w:val="Heading3"/>
      </w:pPr>
      <w:r>
        <w:rPr>
          <w:lang w:val="id_ID" w:bidi="id_ID"/>
        </w:rPr>
        <w:t>Penulis</w:t>
      </w:r>
    </w:p>
    <w:p>
      <w:pPr/>
      <w:r>
        <w:rPr>
          <w:lang w:val="id_ID" w:bidi="id_ID"/>
        </w:rPr>
      </w:r>
      <w:r>
        <w:rPr>
          <w:lang w:val="id_ID" w:bidi="id_ID"/>
        </w:rPr>
        <w:t>Musa, menurut tradisi</w:t>
      </w:r>
    </w:p>
    <w:p>
      <w:pPr>
        <w:pStyle w:val="Heading3"/>
      </w:pPr>
      <w:r>
        <w:rPr>
          <w:lang w:val="id_ID" w:bidi="id_ID"/>
        </w:rPr>
        <w:t>Tahun penulisan</w:t>
      </w:r>
    </w:p>
    <w:p>
      <w:pPr/>
      <w:r>
        <w:rPr>
          <w:lang w:val="id_ID" w:bidi="id_ID"/>
        </w:rPr>
      </w:r>
      <w:r>
        <w:rPr>
          <w:lang w:val="id_ID" w:bidi="id_ID"/>
        </w:rPr>
        <w:t>Mencatat peristiwa-peristiwa yang kemungkinan terjadi sekitar tahun 1445–1406 SM Atau 1269–1230 SM</w:t>
      </w:r>
    </w:p>
    <w:p>
      <w:pPr>
        <w:pStyle w:val="Heading3"/>
      </w:pPr>
      <w:r>
        <w:rPr>
          <w:lang w:val="id_ID" w:bidi="id_ID"/>
        </w:rPr>
        <w:t>Latar Belakang</w:t>
      </w:r>
    </w:p>
    <w:p>
      <w:pPr/>
      <w:r>
        <w:rPr>
          <w:lang w:val="id_ID" w:bidi="id_ID"/>
        </w:rPr>
      </w:r>
      <w:r>
        <w:rPr>
          <w:lang w:val="id_ID" w:bidi="id_ID"/>
        </w:rPr>
        <w:t>Kitab ini dimulai dengan bangsa Israel di Sinai, menelusuri perjalanan mereka melalui padang gurun, dan mengamati mereka dari dekat di dataran Moab di ambang Tanah Perjanjian</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