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DEU</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Ulangan</w:t>
      </w:r>
      <w:r>
        <w:rPr>
          <w:lang w:val="id_ID" w:bidi="id_ID"/>
        </w:rPr>
      </w:r>
    </w:p>
    <w:p>
      <w:pPr/>
      <w:r>
        <w:rPr>
          <w:lang w:val="id_ID" w:bidi="id_ID"/>
        </w:rPr>
      </w:r>
      <w:r>
        <w:rPr>
          <w:lang w:val="id_ID" w:bidi="id_ID"/>
        </w:rPr>
        <w:t>Kitab Keluaran</w:t>
      </w:r>
    </w:p>
    <w:p>
      <w:pPr>
        <w:pStyle w:val="Heading3"/>
      </w:pPr>
      <w:r>
        <w:rPr>
          <w:lang w:val="id_ID" w:bidi="id_ID"/>
        </w:rPr>
        <w:t>Tujuan</w:t>
      </w:r>
    </w:p>
    <w:p>
      <w:pPr/>
      <w:r>
        <w:rPr>
          <w:lang w:val="id_ID" w:bidi="id_ID"/>
        </w:rPr>
      </w:r>
      <w:r>
        <w:rPr>
          <w:lang w:val="id_ID" w:bidi="id_ID"/>
        </w:rPr>
        <w:t>Menjelaskan ulang dan merinci perjanjian sebelum kematian Musa dan masuknya bangsa itu ke dalam Tanah Perjanjian</w:t>
      </w:r>
    </w:p>
    <w:p>
      <w:pPr>
        <w:pStyle w:val="Heading3"/>
      </w:pPr>
      <w:r>
        <w:rPr>
          <w:lang w:val="id_ID" w:bidi="id_ID"/>
        </w:rPr>
        <w:t>Penulis</w:t>
      </w:r>
    </w:p>
    <w:p>
      <w:pPr/>
      <w:r>
        <w:rPr>
          <w:lang w:val="id_ID" w:bidi="id_ID"/>
        </w:rPr>
      </w:r>
      <w:r>
        <w:rPr>
          <w:lang w:val="id_ID" w:bidi="id_ID"/>
        </w:rPr>
        <w:t>Musa, menurut tradisi</w:t>
      </w:r>
    </w:p>
    <w:p>
      <w:pPr>
        <w:pStyle w:val="Heading3"/>
      </w:pPr>
      <w:r>
        <w:rPr>
          <w:lang w:val="id_ID" w:bidi="id_ID"/>
        </w:rPr>
        <w:t>Tahun penulisan</w:t>
      </w:r>
    </w:p>
    <w:p>
      <w:pPr/>
      <w:r>
        <w:rPr>
          <w:lang w:val="id_ID" w:bidi="id_ID"/>
        </w:rPr>
      </w:r>
      <w:r>
        <w:rPr>
          <w:lang w:val="id_ID" w:bidi="id_ID"/>
        </w:rPr>
        <w:t>Kemungkinan tahun 1406 SM Atau 1230 SM</w:t>
      </w:r>
    </w:p>
    <w:p>
      <w:pPr>
        <w:pStyle w:val="Heading3"/>
      </w:pPr>
      <w:r>
        <w:rPr>
          <w:lang w:val="id_ID" w:bidi="id_ID"/>
        </w:rPr>
        <w:t>Latar Belakang</w:t>
      </w:r>
    </w:p>
    <w:p>
      <w:pPr/>
      <w:r>
        <w:rPr>
          <w:lang w:val="id_ID" w:bidi="id_ID"/>
        </w:rPr>
      </w:r>
      <w:r>
        <w:rPr>
          <w:lang w:val="id_ID" w:bidi="id_ID"/>
        </w:rPr>
        <w:t>Bangsa Israel hampir masuk ke dalam Tanah Perjanjian, dan Musa mendekati ajal-Nya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