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Timotius</w:t>
      </w:r>
      <w:r>
        <w:rPr>
          <w:lang w:val="id_ID" w:bidi="id_ID"/>
        </w:rPr>
      </w:r>
    </w:p>
    <w:p>
      <w:pPr/>
      <w:r>
        <w:rPr>
          <w:lang w:val="id_ID" w:bidi="id_ID"/>
        </w:rPr>
      </w:r>
      <w:r>
        <w:rPr>
          <w:lang w:val="id_ID" w:bidi="id_ID"/>
        </w:rPr>
        <w:t>Surat Paulus yang Kedua kepada Timotius</w:t>
      </w:r>
    </w:p>
    <w:p>
      <w:pPr>
        <w:pStyle w:val="Heading3"/>
      </w:pPr>
      <w:r>
        <w:rPr>
          <w:lang w:val="id_ID" w:bidi="id_ID"/>
        </w:rPr>
        <w:t>Tujuan</w:t>
      </w:r>
    </w:p>
    <w:p>
      <w:pPr/>
      <w:r>
        <w:rPr>
          <w:lang w:val="id_ID" w:bidi="id_ID"/>
        </w:rPr>
      </w:r>
      <w:r>
        <w:rPr>
          <w:lang w:val="id_ID" w:bidi="id_ID"/>
        </w:rPr>
        <w:t>Mengutus Timotius untuk melanjutkan pekerjaan yang telah dimulai oleh Paulus dan mendorong Timotius untuk bertahan dalam penderitaan</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Kemungkinan sekitar Tahun 64 M</w:t>
      </w:r>
    </w:p>
    <w:p>
      <w:pPr>
        <w:pStyle w:val="Heading3"/>
      </w:pPr>
      <w:r>
        <w:rPr>
          <w:lang w:val="id_ID" w:bidi="id_ID"/>
        </w:rPr>
        <w:t>Latar Belakang</w:t>
      </w:r>
    </w:p>
    <w:p>
      <w:pPr/>
      <w:r>
        <w:rPr>
          <w:lang w:val="id_ID" w:bidi="id_ID"/>
        </w:rPr>
      </w:r>
      <w:r>
        <w:rPr>
          <w:lang w:val="id_ID" w:bidi="id_ID"/>
        </w:rPr>
        <w:t>Mungkin ditulis ketika Paulus dipenjara untuk kedua kalinya di kota Roma, sesaat sebelum kematiannya—yang ia sadari sudah dekat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