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 Summaries)</w:t>
      </w:r>
      <w:r>
        <w:rPr>
          <w:lang w:val="pt_PT" w:bidi="pt_PT"/>
        </w:rPr>
      </w:r>
    </w:p>
    <w:p>
      <w:pPr/>
      <w:r>
        <w:rPr>
          <w:lang w:val="pt_PT" w:bidi="pt_PT"/>
        </w:rPr>
      </w:r>
      <w:r>
        <w:rPr>
          <w:b/>
          <w:lang w:val="pt_PT" w:bidi="pt_PT"/>
        </w:rPr>
        <w:t>Aquifer Open Study Notes (Book Intro Summaries)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1SA</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 Samuel</w:t>
      </w:r>
      <w:r>
        <w:rPr>
          <w:lang w:val="pt_PT" w:bidi="pt_PT"/>
        </w:rPr>
      </w:r>
    </w:p>
    <w:p>
      <w:pPr/>
      <w:r>
        <w:rPr>
          <w:lang w:val="pt_PT" w:bidi="pt_PT"/>
        </w:rPr>
      </w:r>
      <w:r>
        <w:rPr>
          <w:lang w:val="pt_PT" w:bidi="pt_PT"/>
        </w:rPr>
        <w:t>O primeiro livro de Samuel</w:t>
      </w:r>
    </w:p>
    <w:p>
      <w:pPr>
        <w:pStyle w:val="Heading3"/>
      </w:pPr>
      <w:r>
        <w:rPr>
          <w:lang w:val="pt_PT" w:bidi="pt_PT"/>
        </w:rPr>
        <w:t>Propósito</w:t>
      </w:r>
    </w:p>
    <w:p>
      <w:pPr/>
      <w:r>
        <w:rPr>
          <w:lang w:val="pt_PT" w:bidi="pt_PT"/>
        </w:rPr>
      </w:r>
      <w:r>
        <w:rPr>
          <w:lang w:val="pt_PT" w:bidi="pt_PT"/>
        </w:rPr>
        <w:t>Relatar o estabelecimento da monarquia israelita e destacar o caráter diferente dos dois primeiros reis de Israel</w:t>
      </w:r>
    </w:p>
    <w:p>
      <w:pPr>
        <w:pStyle w:val="Heading3"/>
      </w:pPr>
      <w:r>
        <w:rPr>
          <w:lang w:val="pt_PT" w:bidi="pt_PT"/>
        </w:rPr>
        <w:t>Autor</w:t>
      </w:r>
    </w:p>
    <w:p>
      <w:pPr/>
      <w:r>
        <w:rPr>
          <w:lang w:val="pt_PT" w:bidi="pt_PT"/>
        </w:rPr>
      </w:r>
      <w:r>
        <w:rPr>
          <w:lang w:val="pt_PT" w:bidi="pt_PT"/>
        </w:rPr>
        <w:t>Desconhecido</w:t>
      </w:r>
    </w:p>
    <w:p>
      <w:pPr>
        <w:pStyle w:val="Heading3"/>
      </w:pPr>
      <w:r>
        <w:rPr>
          <w:lang w:val="pt_PT" w:bidi="pt_PT"/>
        </w:rPr>
        <w:t>Data</w:t>
      </w:r>
    </w:p>
    <w:p>
      <w:pPr/>
      <w:r>
        <w:rPr>
          <w:lang w:val="pt_PT" w:bidi="pt_PT"/>
        </w:rPr>
      </w:r>
      <w:r>
        <w:rPr>
          <w:lang w:val="pt_PT" w:bidi="pt_PT"/>
        </w:rPr>
        <w:t>Registra eventos que ocorreram por volta de 1050–1011 a.C.</w:t>
      </w:r>
    </w:p>
    <w:p>
      <w:pPr>
        <w:pStyle w:val="Heading3"/>
      </w:pPr>
      <w:r>
        <w:rPr>
          <w:lang w:val="pt_PT" w:bidi="pt_PT"/>
        </w:rPr>
        <w:t>Cenário</w:t>
      </w:r>
    </w:p>
    <w:p>
      <w:pPr/>
      <w:r>
        <w:rPr>
          <w:lang w:val="pt_PT" w:bidi="pt_PT"/>
        </w:rPr>
      </w:r>
      <w:r>
        <w:rPr>
          <w:lang w:val="pt_PT" w:bidi="pt_PT"/>
        </w:rPr>
        <w:t>A transição do período dos juízes para a monarquia israelita</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