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Nehemiah</w:t>
      </w:r>
      <w:r>
        <w:rPr>
          <w:lang w:val="pt_PT" w:bidi="pt_PT"/>
        </w:rPr>
      </w:r>
    </w:p>
    <w:p>
      <w:pPr/>
      <w:r>
        <w:rPr>
          <w:lang w:val="pt_PT" w:bidi="pt_PT"/>
        </w:rPr>
      </w:r>
      <w:r>
        <w:rPr>
          <w:lang w:val="pt_PT" w:bidi="pt_PT"/>
        </w:rPr>
        <w:t>O livro de Neemias</w:t>
      </w:r>
    </w:p>
    <w:p>
      <w:pPr>
        <w:pStyle w:val="Heading3"/>
      </w:pPr>
      <w:r>
        <w:rPr>
          <w:lang w:val="pt_PT" w:bidi="pt_PT"/>
        </w:rPr>
        <w:t>Propósito</w:t>
      </w:r>
    </w:p>
    <w:p>
      <w:pPr/>
      <w:r>
        <w:rPr>
          <w:lang w:val="pt_PT" w:bidi="pt_PT"/>
        </w:rPr>
      </w:r>
      <w:r>
        <w:rPr>
          <w:lang w:val="pt_PT" w:bidi="pt_PT"/>
        </w:rPr>
        <w:t>Relatar a reconstrução dos muros de Jerusalém e demonstrar a fidelidade de Deus aos que se dedicam a ele</w:t>
      </w:r>
    </w:p>
    <w:p>
      <w:pPr>
        <w:pStyle w:val="Heading3"/>
      </w:pPr>
      <w:r>
        <w:rPr>
          <w:lang w:val="pt_PT" w:bidi="pt_PT"/>
        </w:rPr>
        <w:t>Autor</w:t>
      </w:r>
    </w:p>
    <w:p>
      <w:pPr/>
      <w:r>
        <w:rPr>
          <w:lang w:val="pt_PT" w:bidi="pt_PT"/>
        </w:rPr>
      </w:r>
      <w:r>
        <w:rPr>
          <w:lang w:val="pt_PT" w:bidi="pt_PT"/>
        </w:rPr>
        <w:t>Esdras, de acordo com a tradição</w:t>
      </w:r>
    </w:p>
    <w:p>
      <w:pPr>
        <w:pStyle w:val="Heading3"/>
      </w:pPr>
      <w:r>
        <w:rPr>
          <w:lang w:val="pt_PT" w:bidi="pt_PT"/>
        </w:rPr>
        <w:t>Data</w:t>
      </w:r>
    </w:p>
    <w:p>
      <w:pPr/>
      <w:r>
        <w:rPr>
          <w:lang w:val="pt_PT" w:bidi="pt_PT"/>
        </w:rPr>
      </w:r>
      <w:r>
        <w:rPr>
          <w:lang w:val="pt_PT" w:bidi="pt_PT"/>
        </w:rPr>
        <w:t>Registra eventos que ocorreram por volta de 445–430 a.C.</w:t>
      </w:r>
    </w:p>
    <w:p>
      <w:pPr>
        <w:pStyle w:val="Heading3"/>
      </w:pPr>
      <w:r>
        <w:rPr>
          <w:lang w:val="pt_PT" w:bidi="pt_PT"/>
        </w:rPr>
        <w:t>Cenário</w:t>
      </w:r>
    </w:p>
    <w:p>
      <w:pPr/>
      <w:r>
        <w:rPr>
          <w:lang w:val="pt_PT" w:bidi="pt_PT"/>
        </w:rPr>
      </w:r>
      <w:r>
        <w:rPr>
          <w:lang w:val="pt_PT" w:bidi="pt_PT"/>
        </w:rPr>
        <w:t>Jerusalém, aproximadamente quinze anos após Esdras haver chegado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