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Jonah</w:t>
      </w:r>
      <w:r>
        <w:rPr>
          <w:lang w:val="pt_PT" w:bidi="pt_PT"/>
        </w:rPr>
      </w:r>
    </w:p>
    <w:p>
      <w:pPr/>
      <w:r>
        <w:rPr>
          <w:lang w:val="pt_PT" w:bidi="pt_PT"/>
        </w:rPr>
      </w:r>
      <w:r>
        <w:rPr>
          <w:lang w:val="pt_PT" w:bidi="pt_PT"/>
        </w:rPr>
        <w:t>O livro de Jonas</w:t>
      </w:r>
    </w:p>
    <w:p>
      <w:pPr>
        <w:pStyle w:val="Heading3"/>
      </w:pPr>
      <w:r>
        <w:rPr>
          <w:lang w:val="pt_PT" w:bidi="pt_PT"/>
        </w:rPr>
        <w:t>Propósito</w:t>
      </w:r>
    </w:p>
    <w:p>
      <w:pPr/>
      <w:r>
        <w:rPr>
          <w:lang w:val="pt_PT" w:bidi="pt_PT"/>
        </w:rPr>
      </w:r>
      <w:r>
        <w:rPr>
          <w:lang w:val="pt_PT" w:bidi="pt_PT"/>
        </w:rPr>
        <w:t>Para recontar uma história do escopo de longo alcance da soberania e salvação de Deus</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Por volta de 755 a.C.</w:t>
      </w:r>
    </w:p>
    <w:p>
      <w:pPr>
        <w:pStyle w:val="Heading3"/>
      </w:pPr>
      <w:r>
        <w:rPr>
          <w:lang w:val="pt_PT" w:bidi="pt_PT"/>
        </w:rPr>
        <w:t>Cenário</w:t>
      </w:r>
    </w:p>
    <w:p>
      <w:pPr/>
      <w:r>
        <w:rPr>
          <w:lang w:val="pt_PT" w:bidi="pt_PT"/>
        </w:rPr>
      </w:r>
      <w:r>
        <w:rPr>
          <w:lang w:val="pt_PT" w:bidi="pt_PT"/>
        </w:rPr>
        <w:t>Um tempo em que a influência da Assíria em Israel havia diminuído temporariamente, provavelmente durante o reinado de Jeroboão II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