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2CH</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2 Паралипоменон</w:t>
      </w:r>
      <w:r>
        <w:rPr>
          <w:lang w:val="ru_RU" w:bidi="ru_RU"/>
        </w:rPr>
      </w:r>
    </w:p>
    <w:p>
      <w:pPr/>
      <w:r>
        <w:rPr>
          <w:lang w:val="ru_RU" w:bidi="ru_RU"/>
        </w:rPr>
      </w:r>
      <w:r>
        <w:rPr>
          <w:lang w:val="ru_RU" w:bidi="ru_RU"/>
        </w:rPr>
        <w:t>Вторая книга Паралипоменон</w:t>
      </w:r>
    </w:p>
    <w:p>
      <w:pPr>
        <w:pStyle w:val="Heading3"/>
      </w:pPr>
      <w:r>
        <w:rPr>
          <w:lang w:val="ru_RU" w:bidi="ru_RU"/>
        </w:rPr>
        <w:t>Цель</w:t>
      </w:r>
    </w:p>
    <w:p>
      <w:pPr/>
      <w:r>
        <w:rPr>
          <w:lang w:val="ru_RU" w:bidi="ru_RU"/>
        </w:rPr>
      </w:r>
      <w:r>
        <w:rPr>
          <w:lang w:val="ru_RU" w:bidi="ru_RU"/>
        </w:rPr>
        <w:t>Дать читателям надежду на восстановление Израильского царства, характеризующегося правильным поклонением.</w:t>
      </w:r>
    </w:p>
    <w:p>
      <w:pPr>
        <w:pStyle w:val="Heading3"/>
      </w:pPr>
      <w:r>
        <w:rPr>
          <w:lang w:val="ru_RU" w:bidi="ru_RU"/>
        </w:rPr>
        <w:t>Автор</w:t>
      </w:r>
    </w:p>
    <w:p>
      <w:pPr/>
      <w:r>
        <w:rPr>
          <w:lang w:val="ru_RU" w:bidi="ru_RU"/>
        </w:rPr>
      </w:r>
      <w:r>
        <w:rPr>
          <w:lang w:val="ru_RU" w:bidi="ru_RU"/>
        </w:rPr>
        <w:t>Неизвестен</w:t>
      </w:r>
    </w:p>
    <w:p>
      <w:pPr>
        <w:pStyle w:val="Heading3"/>
      </w:pPr>
      <w:r>
        <w:rPr>
          <w:lang w:val="ru_RU" w:bidi="ru_RU"/>
        </w:rPr>
        <w:t>Дата</w:t>
      </w:r>
    </w:p>
    <w:p>
      <w:pPr/>
      <w:r>
        <w:rPr>
          <w:lang w:val="ru_RU" w:bidi="ru_RU"/>
        </w:rPr>
      </w:r>
      <w:r>
        <w:rPr>
          <w:lang w:val="ru_RU" w:bidi="ru_RU"/>
        </w:rPr>
        <w:t>Вероятно, написано около 400 года до Р.Х. Описанные события произошли приблизительно в 971–538 гг. до Р.Х.</w:t>
      </w:r>
    </w:p>
    <w:p>
      <w:pPr>
        <w:pStyle w:val="Heading3"/>
      </w:pPr>
      <w:r>
        <w:rPr>
          <w:lang w:val="ru_RU" w:bidi="ru_RU"/>
        </w:rPr>
        <w:t>Контекст</w:t>
      </w:r>
    </w:p>
    <w:p>
      <w:pPr/>
      <w:r>
        <w:rPr>
          <w:lang w:val="ru_RU" w:bidi="ru_RU"/>
        </w:rPr>
      </w:r>
      <w:r>
        <w:rPr>
          <w:lang w:val="ru_RU" w:bidi="ru_RU"/>
        </w:rPr>
        <w:t>Иудея после периода изгнания; времена персидского правления; повествование начинается с правления Соломона и заканчивается возвещением Кира, разрешающим народу вернуться в Иудею.</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