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(Book Intro Summaries)</w:t>
      </w:r>
      <w:r>
        <w:rPr>
          <w:lang w:val="zh_TW" w:bidi="zh_TW"/>
        </w:rPr>
      </w:r>
    </w:p>
    <w:p>
      <w:pPr/>
      <w:r>
        <w:rPr>
          <w:lang w:val="zh_TW" w:bidi="zh_TW"/>
        </w:rPr>
      </w:r>
      <w:r>
        <w:rPr>
          <w:b/>
          <w:lang w:val="zh_TW" w:bidi="zh_TW"/>
        </w:rPr>
        <w:t>Aquifer Open Study Notes (Book Intro Summaries)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HOS</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何西阿</w:t>
      </w:r>
      <w:r>
        <w:rPr>
          <w:lang w:val="zh_TW" w:bidi="zh_TW"/>
        </w:rPr>
      </w:r>
    </w:p>
    <w:p>
      <w:pPr/>
      <w:r>
        <w:rPr>
          <w:lang w:val="zh_TW" w:bidi="zh_TW"/>
        </w:rPr>
      </w:r>
      <w:r>
        <w:rPr>
          <w:lang w:val="zh_TW" w:bidi="zh_TW"/>
        </w:rPr>
        <w:t>何西阿書</w:t>
      </w:r>
    </w:p>
    <w:p>
      <w:pPr>
        <w:pStyle w:val="Heading3"/>
      </w:pPr>
      <w:r>
        <w:rPr>
          <w:lang w:val="zh_TW" w:bidi="zh_TW"/>
        </w:rPr>
        <w:t>寫作目的</w:t>
      </w:r>
    </w:p>
    <w:p>
      <w:pPr/>
      <w:r>
        <w:rPr>
          <w:lang w:val="zh_TW" w:bidi="zh_TW"/>
        </w:rPr>
      </w:r>
      <w:r>
        <w:rPr>
          <w:lang w:val="zh_TW" w:bidi="zh_TW"/>
        </w:rPr>
        <w:t>描述以色列的不忠和隨後的審判，並表明神願意醫治和恢復他的子民</w:t>
      </w:r>
    </w:p>
    <w:p>
      <w:pPr>
        <w:pStyle w:val="Heading3"/>
      </w:pPr>
      <w:r>
        <w:rPr>
          <w:lang w:val="zh_TW" w:bidi="zh_TW"/>
        </w:rPr>
        <w:t>作者</w:t>
      </w:r>
    </w:p>
    <w:p>
      <w:pPr/>
      <w:r>
        <w:rPr>
          <w:lang w:val="zh_TW" w:bidi="zh_TW"/>
        </w:rPr>
      </w:r>
      <w:r>
        <w:rPr>
          <w:lang w:val="zh_TW" w:bidi="zh_TW"/>
        </w:rPr>
        <w:t>何西阿</w:t>
      </w:r>
    </w:p>
    <w:p>
      <w:pPr>
        <w:pStyle w:val="Heading3"/>
      </w:pPr>
      <w:r>
        <w:rPr>
          <w:lang w:val="zh_TW" w:bidi="zh_TW"/>
        </w:rPr>
        <w:t>日期</w:t>
      </w:r>
    </w:p>
    <w:p>
      <w:pPr/>
      <w:r>
        <w:rPr>
          <w:lang w:val="zh_TW" w:bidi="zh_TW"/>
        </w:rPr>
      </w:r>
      <w:r>
        <w:rPr>
          <w:lang w:val="zh_TW" w:bidi="zh_TW"/>
        </w:rPr>
        <w:t>約公元前760–722年</w:t>
      </w:r>
    </w:p>
    <w:p>
      <w:pPr>
        <w:pStyle w:val="Heading3"/>
      </w:pPr>
      <w:r>
        <w:rPr>
          <w:lang w:val="zh_TW" w:bidi="zh_TW"/>
        </w:rPr>
        <w:t>背景</w:t>
      </w:r>
    </w:p>
    <w:p>
      <w:pPr/>
      <w:r>
        <w:rPr>
          <w:lang w:val="zh_TW" w:bidi="zh_TW"/>
        </w:rPr>
      </w:r>
      <w:r>
        <w:rPr>
          <w:lang w:val="zh_TW" w:bidi="zh_TW"/>
        </w:rPr>
        <w:t>以色列北國在被亞述毀滅前的時期</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