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pStyle w:val="Heading3"/>
      </w:pPr>
      <w:r>
        <w:rPr>
          <w:lang w:val="en_US" w:bidi="en_US"/>
        </w:rPr>
        <w:t>Purpose</w:t>
      </w:r>
    </w:p>
    <w:p>
      <w:pPr/>
      <w:r>
        <w:rPr>
          <w:lang w:val="en_US" w:bidi="en_US"/>
        </w:rPr>
      </w:r>
      <w:r>
        <w:rPr>
          <w:lang w:val="en_US" w:bidi="en_US"/>
        </w:rPr>
        <w:t>To encourage Philemon to welcome back his slave Onesimus, who had become a believer</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encountered Onesimus, who was seemingly a runaway slave of Philemon, a Christian leader in Colossae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