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w:t>
      </w:r>
    </w:p>
    <w:p>
      <w:pPr>
        <w:pStyle w:val="Heading3"/>
      </w:pPr>
      <w:r>
        <w:rPr>
          <w:lang w:val="fr_FR" w:bidi="fr_FR"/>
        </w:rPr>
        <w:t>Dessein</w:t>
      </w:r>
    </w:p>
    <w:p>
      <w:pPr/>
      <w:r>
        <w:rPr>
          <w:lang w:val="fr_FR" w:bidi="fr_FR"/>
        </w:rPr>
      </w:r>
      <w:r>
        <w:rPr>
          <w:lang w:val="fr_FR" w:bidi="fr_FR"/>
        </w:rPr>
        <w:t>Manifester comment Dieu continue à pourvoir aux besoins de son peuple et montrer comment vivre face à la domination étrangère, à l’opposition et à l’influence païenne</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538–457 av. J.-C.</w:t>
      </w:r>
    </w:p>
    <w:p>
      <w:pPr>
        <w:pStyle w:val="Heading3"/>
      </w:pPr>
      <w:r>
        <w:rPr>
          <w:lang w:val="fr_FR" w:bidi="fr_FR"/>
        </w:rPr>
        <w:t>Cadre</w:t>
      </w:r>
    </w:p>
    <w:p>
      <w:pPr/>
      <w:r>
        <w:rPr>
          <w:lang w:val="fr_FR" w:bidi="fr_FR"/>
        </w:rPr>
      </w:r>
      <w:r>
        <w:rPr>
          <w:lang w:val="fr_FR" w:bidi="fr_FR"/>
        </w:rPr>
        <w:t>Jérusalem, à partir du premier retour des Juifs exilés et jusqu’à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