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की पुस्तक</w:t>
      </w:r>
    </w:p>
    <w:p>
      <w:pPr>
        <w:pStyle w:val="Heading3"/>
      </w:pPr>
      <w:r>
        <w:rPr>
          <w:lang w:val="hi_IN" w:bidi="hi_IN"/>
        </w:rPr>
        <w:t>उद्देश्य</w:t>
      </w:r>
    </w:p>
    <w:p>
      <w:pPr/>
      <w:r>
        <w:rPr>
          <w:lang w:val="hi_IN" w:bidi="hi_IN"/>
        </w:rPr>
      </w:r>
      <w:r>
        <w:rPr>
          <w:lang w:val="hi_IN" w:bidi="hi_IN"/>
        </w:rPr>
        <w:t>रूत की प्रेरणादायक कथा बताना और राजा दाऊद की पृष्ठभूमि को दिखाना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1100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बैतलहम में पड़े आकाल के दौरान और उसके तुरन्त बाद के समय में, न्यायियों का समय काल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