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Паралипоменон</w:t>
      </w:r>
      <w:r>
        <w:rPr>
          <w:lang w:val="ru_RU" w:bidi="ru_RU"/>
        </w:rPr>
      </w:r>
    </w:p>
    <w:p>
      <w:pPr/>
      <w:r>
        <w:rPr>
          <w:lang w:val="ru_RU" w:bidi="ru_RU"/>
        </w:rPr>
      </w:r>
      <w:r>
        <w:rPr>
          <w:lang w:val="ru_RU" w:bidi="ru_RU"/>
        </w:rPr>
        <w:t>Первая книга Паралипоменон</w:t>
      </w:r>
    </w:p>
    <w:p>
      <w:pPr>
        <w:pStyle w:val="Heading3"/>
      </w:pPr>
      <w:r>
        <w:rPr>
          <w:lang w:val="ru_RU" w:bidi="ru_RU"/>
        </w:rPr>
        <w:t>Цель</w:t>
      </w:r>
    </w:p>
    <w:p>
      <w:pPr/>
      <w:r>
        <w:rPr>
          <w:lang w:val="ru_RU" w:bidi="ru_RU"/>
        </w:rPr>
      </w:r>
      <w:r>
        <w:rPr>
          <w:lang w:val="ru_RU" w:bidi="ru_RU"/>
        </w:rPr>
        <w:t>Вселить надежду, – в основном, обращением к обетованию Давида – к евреям, которые вернулись на свою землю, но жили в порабощении.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Большинство описанных событий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изгнания Иудея была вновь заселена евреями, однако они все еще жили под чужеземным (персидским) владычеством; повествование, по сути, прослеживает правление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