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r>
        <w:rPr>
          <w:lang w:val="en_US" w:bidi="en_US"/>
        </w:rPr>
      </w:r>
      <w:r>
        <w:rPr>
          <w:lang w:val="en_US" w:bidi="en_US"/>
        </w:rPr>
        <w:t>The Second Letter of Peter</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denounce false teachers </w:t>
      </w:r>
    </w:p>
    <w:p>
      <w:pPr>
        <w:pStyle w:val="ListNumber"/>
        <w:spacing w:line="240" w:lineRule="auto"/>
        <w:ind w:left="720"/>
      </w:pPr>
      <w:r>
        <w:rPr>
          <w:lang w:val="en_US" w:bidi="en_US"/>
        </w:rPr>
      </w:r>
      <w:r>
        <w:rPr>
          <w:lang w:val="en_US" w:bidi="en_US"/>
        </w:rPr>
        <w:t>To encourage continued growth in the faith</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 the same groups of believers addressed in 1 Peter, whose communities were being infiltrated by false teachers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