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w:t>
      </w:r>
      <w:r>
        <w:rPr>
          <w:lang w:val="ru_RU" w:bidi="ru_RU"/>
        </w:rPr>
      </w:r>
    </w:p>
    <w:p>
      <w:pPr/>
      <w:r>
        <w:rPr>
          <w:lang w:val="ru_RU" w:bidi="ru_RU"/>
        </w:rPr>
      </w:r>
      <w:r>
        <w:rPr>
          <w:lang w:val="ru_RU" w:bidi="ru_RU"/>
        </w:rPr>
        <w:t>Первое послание Петра</w:t>
      </w:r>
    </w:p>
    <w:p>
      <w:pPr>
        <w:pStyle w:val="Heading3"/>
      </w:pPr>
      <w:r>
        <w:rPr>
          <w:lang w:val="ru_RU" w:bidi="ru_RU"/>
        </w:rPr>
        <w:t>Цель</w:t>
      </w:r>
    </w:p>
    <w:p>
      <w:pPr/>
      <w:r>
        <w:rPr>
          <w:lang w:val="ru_RU" w:bidi="ru_RU"/>
        </w:rPr>
      </w:r>
      <w:r>
        <w:rPr>
          <w:lang w:val="ru_RU" w:bidi="ru_RU"/>
        </w:rPr>
        <w:t>Побудить верующих, которые страдали, вести святую жизнь и тем самым свидетельствовать о Христе.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в конце жизни Петра верующим в северной части Малой Азии, которые переживали гонения.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