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سِفر ميخا</w:t>
      </w:r>
    </w:p>
    <w:p>
      <w:pPr>
        <w:pStyle w:val="Heading3"/>
        <w:bidi/>
      </w:pPr>
      <w:r>
        <w:rPr>
          <w:lang w:val="ar_AE" w:bidi="ar_AE"/>
        </w:rPr>
        <w:t>الهدف</w:t>
      </w:r>
    </w:p>
    <w:p>
      <w:pPr>
        <w:bidi/>
      </w:pPr>
      <w:r>
        <w:rPr>
          <w:lang w:val="ar_AE" w:bidi="ar_AE"/>
        </w:rPr>
      </w:r>
      <w:r>
        <w:rPr>
          <w:lang w:val="ar_AE" w:bidi="ar_AE"/>
        </w:rPr>
        <w:t>إعلان الدينونة على السامرة وأورشليم، وأيضًا لتقديم رسالة رجاء قوية لمستقبل إسرائيل</w:t>
      </w:r>
    </w:p>
    <w:p>
      <w:pPr>
        <w:pStyle w:val="Heading3"/>
        <w:bidi/>
      </w:pPr>
      <w:r>
        <w:rPr>
          <w:lang w:val="ar_AE" w:bidi="ar_AE"/>
        </w:rPr>
        <w:t>الكاتب</w:t>
      </w:r>
    </w:p>
    <w:p>
      <w:pPr>
        <w:bidi/>
      </w:pPr>
      <w:r>
        <w:rPr>
          <w:lang w:val="ar_AE" w:bidi="ar_AE"/>
        </w:rPr>
      </w:r>
      <w:r>
        <w:rPr>
          <w:lang w:val="ar_AE" w:bidi="ar_AE"/>
        </w:rPr>
        <w:t>سفر ميخا</w:t>
      </w:r>
    </w:p>
    <w:p>
      <w:pPr>
        <w:pStyle w:val="Heading3"/>
        <w:bidi/>
      </w:pPr>
      <w:r>
        <w:rPr>
          <w:lang w:val="ar_AE" w:bidi="ar_AE"/>
        </w:rPr>
        <w:t>الزمن</w:t>
      </w:r>
    </w:p>
    <w:p>
      <w:pPr>
        <w:bidi/>
      </w:pPr>
      <w:r>
        <w:rPr>
          <w:lang w:val="ar_AE" w:bidi="ar_AE"/>
        </w:rPr>
      </w:r>
      <w:r>
        <w:rPr>
          <w:lang w:val="ar_AE" w:bidi="ar_AE"/>
        </w:rPr>
        <w:t>نحو 735–686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قبيل خرابها ومملكة يهوذا الجنوبية في عهد يوثام وأحاز وحزقيَّا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