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الأولى إلى أهل كورنثوس</w:t>
      </w:r>
      <w:r>
        <w:rPr>
          <w:lang w:val="ar_AE" w:bidi="ar_AE"/>
        </w:rPr>
      </w:r>
    </w:p>
    <w:p>
      <w:pPr>
        <w:bidi/>
      </w:pPr>
      <w:r>
        <w:rPr>
          <w:lang w:val="ar_AE" w:bidi="ar_AE"/>
        </w:rPr>
      </w:r>
      <w:r>
        <w:rPr>
          <w:lang w:val="ar_AE" w:bidi="ar_AE"/>
        </w:rPr>
        <w:t>رسالة بولس الأولى إلى أهل كورنثوس</w:t>
      </w:r>
    </w:p>
    <w:p>
      <w:pPr>
        <w:pStyle w:val="Heading3"/>
        <w:bidi/>
      </w:pPr>
      <w:r>
        <w:rPr>
          <w:lang w:val="ar_AE" w:bidi="ar_AE"/>
        </w:rPr>
        <w:t>الهدف</w:t>
      </w:r>
    </w:p>
    <w:p>
      <w:pPr>
        <w:bidi/>
      </w:pPr>
      <w:r>
        <w:rPr>
          <w:lang w:val="ar_AE" w:bidi="ar_AE"/>
        </w:rPr>
      </w:r>
      <w:r>
        <w:rPr>
          <w:lang w:val="ar_AE" w:bidi="ar_AE"/>
        </w:rPr>
        <w:t>توضيح بعض الأسئلة التي أثارتها كنيسة كورنثوس، ومعالجة سلسلة من المشكلات المحددة التي أثيرت في الكنيسة هناك</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53–56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من أفسس أثناء رحلته التبشيرية الثالثة، ردًا على التقارير والأسئلة التي تلقاها من كنيسة كورنثوس (انظر </w:t>
      </w:r>
      <w:hyperlink r:id="rId13">
        <w:r>
          <w:rPr>
            <w:lang w:val="ar_AE" w:bidi="ar_AE"/>
          </w:rPr>
          <w:rPr>
            <w:color w:val="0000EE"/>
            <w:u w:val="single"/>
          </w:rPr>
          <w:t>1 كورنثوس 1: 11</w:t>
        </w:r>
      </w:hyperlink>
      <w:r>
        <w:rPr>
          <w:lang w:val="ar_AE" w:bidi="ar_AE"/>
        </w:rPr>
        <w:t xml:space="preserve">؛ </w:t>
      </w:r>
      <w:hyperlink r:id="rId14">
        <w:r>
          <w:rPr>
            <w:lang w:val="ar_AE" w:bidi="ar_AE"/>
          </w:rPr>
          <w:rPr>
            <w:color w:val="0000EE"/>
            <w:u w:val="single"/>
          </w:rPr>
          <w:t>5: 1</w:t>
        </w:r>
      </w:hyperlink>
      <w:r>
        <w:rPr>
          <w:lang w:val="ar_AE" w:bidi="ar_AE"/>
        </w:rPr>
        <w:t xml:space="preserve">؛ </w:t>
      </w:r>
      <w:hyperlink r:id="rId15">
        <w:r>
          <w:rPr>
            <w:lang w:val="ar_AE" w:bidi="ar_AE"/>
          </w:rPr>
          <w:rPr>
            <w:color w:val="0000EE"/>
            <w:u w:val="single"/>
          </w:rPr>
          <w:t>۷: ۱</w:t>
        </w:r>
      </w:hyperlink>
      <w:r>
        <w:rPr>
          <w:lang w:val="ar_AE" w:bidi="ar_AE"/>
        </w:rPr>
        <w:t xml:space="preserve">؛ </w:t>
      </w:r>
      <w:hyperlink r:id="rId16">
        <w:r>
          <w:rPr>
            <w:lang w:val="ar_AE" w:bidi="ar_AE"/>
          </w:rPr>
          <w:rPr>
            <w:color w:val="0000EE"/>
            <w:u w:val="single"/>
          </w:rPr>
          <w:t>8: 1</w:t>
        </w:r>
      </w:hyperlink>
      <w:r>
        <w:rPr>
          <w:lang w:val="ar_AE" w:bidi="ar_AE"/>
        </w:rPr>
        <w:t xml:space="preserve">؛ </w:t>
      </w:r>
      <w:hyperlink r:id="rId17">
        <w:r>
          <w:rPr>
            <w:lang w:val="ar_AE" w:bidi="ar_AE"/>
          </w:rPr>
          <w:rPr>
            <w:color w:val="0000EE"/>
            <w:u w:val="single"/>
          </w:rPr>
          <w:t>12: 1</w:t>
        </w:r>
      </w:hyperlink>
      <w:r>
        <w:rPr>
          <w:lang w:val="ar_AE" w:bidi="ar_AE"/>
        </w:rPr>
        <w:t xml:space="preserve">؛ </w:t>
      </w:r>
      <w:hyperlink r:id="rId18">
        <w:r>
          <w:rPr>
            <w:lang w:val="ar_AE" w:bidi="ar_AE"/>
          </w:rPr>
          <w:rPr>
            <w:color w:val="0000EE"/>
            <w:u w:val="single"/>
          </w:rPr>
          <w:t>16: 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