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Samuel</w:t>
      </w:r>
      <w:r>
        <w:rPr>
          <w:lang w:val="fr_FR" w:bidi="fr_FR"/>
        </w:rPr>
      </w:r>
    </w:p>
    <w:p>
      <w:pPr/>
      <w:r>
        <w:rPr>
          <w:lang w:val="fr_FR" w:bidi="fr_FR"/>
        </w:rPr>
      </w:r>
      <w:r>
        <w:rPr>
          <w:lang w:val="fr_FR" w:bidi="fr_FR"/>
        </w:rPr>
        <w:t>Le premier livre de Samuel</w:t>
      </w:r>
    </w:p>
    <w:p>
      <w:pPr>
        <w:pStyle w:val="Heading3"/>
      </w:pPr>
      <w:r>
        <w:rPr>
          <w:lang w:val="fr_FR" w:bidi="fr_FR"/>
        </w:rPr>
        <w:t>Dessein</w:t>
      </w:r>
    </w:p>
    <w:p>
      <w:pPr/>
      <w:r>
        <w:rPr>
          <w:lang w:val="fr_FR" w:bidi="fr_FR"/>
        </w:rPr>
      </w:r>
      <w:r>
        <w:rPr>
          <w:lang w:val="fr_FR" w:bidi="fr_FR"/>
        </w:rPr>
        <w:t>Raconter l’établissement de la monarchie israélite et mettre en avant les différences de caractère entre les deux premiers rois d’Israël</w:t>
      </w:r>
    </w:p>
    <w:p>
      <w:pPr>
        <w:pStyle w:val="Heading3"/>
      </w:pPr>
      <w:r>
        <w:rPr>
          <w:lang w:val="fr_FR" w:bidi="fr_FR"/>
        </w:rPr>
        <w:t>Auteur</w:t>
      </w:r>
    </w:p>
    <w:p>
      <w:pPr/>
      <w:r>
        <w:rPr>
          <w:lang w:val="fr_FR" w:bidi="fr_FR"/>
        </w:rPr>
      </w:r>
      <w:r>
        <w:rPr>
          <w:lang w:val="fr_FR" w:bidi="fr_FR"/>
        </w:rPr>
        <w:t>Inconnue</w:t>
      </w:r>
    </w:p>
    <w:p>
      <w:pPr>
        <w:pStyle w:val="Heading3"/>
      </w:pPr>
      <w:r>
        <w:rPr>
          <w:lang w:val="fr_FR" w:bidi="fr_FR"/>
        </w:rPr>
        <w:t>Date</w:t>
      </w:r>
    </w:p>
    <w:p>
      <w:pPr/>
      <w:r>
        <w:rPr>
          <w:lang w:val="fr_FR" w:bidi="fr_FR"/>
        </w:rPr>
      </w:r>
      <w:r>
        <w:rPr>
          <w:lang w:val="fr_FR" w:bidi="fr_FR"/>
        </w:rPr>
        <w:t>Rapporte des événements survenus vers 1050–1011 av. J.-C.</w:t>
      </w:r>
    </w:p>
    <w:p>
      <w:pPr>
        <w:pStyle w:val="Heading3"/>
      </w:pPr>
      <w:r>
        <w:rPr>
          <w:lang w:val="fr_FR" w:bidi="fr_FR"/>
        </w:rPr>
        <w:t>Cadre</w:t>
      </w:r>
    </w:p>
    <w:p>
      <w:pPr/>
      <w:r>
        <w:rPr>
          <w:lang w:val="fr_FR" w:bidi="fr_FR"/>
        </w:rPr>
      </w:r>
      <w:r>
        <w:rPr>
          <w:lang w:val="fr_FR" w:bidi="fr_FR"/>
        </w:rPr>
        <w:t>La transition entre la période des juges et la monarchie israélite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