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w:t>
      </w:r>
      <w:r>
        <w:rPr>
          <w:lang w:val="hi_IN" w:bidi="hi_IN"/>
        </w:rPr>
      </w:r>
    </w:p>
    <w:p>
      <w:pPr/>
      <w:r>
        <w:rPr>
          <w:lang w:val="hi_IN" w:bidi="hi_IN"/>
        </w:rPr>
      </w:r>
      <w:r>
        <w:rPr>
          <w:lang w:val="hi_IN" w:bidi="hi_IN"/>
        </w:rPr>
        <w:t>शमूएल की दूसरी पुस्तक</w:t>
      </w:r>
    </w:p>
    <w:p>
      <w:pPr>
        <w:pStyle w:val="Heading3"/>
      </w:pPr>
      <w:r>
        <w:rPr>
          <w:lang w:val="hi_IN" w:bidi="hi_IN"/>
        </w:rPr>
        <w:t>उद्देश्य</w:t>
      </w:r>
    </w:p>
    <w:p>
      <w:pPr/>
      <w:r>
        <w:rPr>
          <w:lang w:val="hi_IN" w:bidi="hi_IN"/>
        </w:rPr>
      </w:r>
      <w:r>
        <w:rPr>
          <w:lang w:val="hi_IN" w:bidi="hi_IN"/>
        </w:rPr>
        <w:t>दाऊद के शासन काल का वर्णन करना और दाऊद के वंश के प्रति परमेश्वर की प्रतिबद्धता को प्रदर्शित करना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1011–971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शाऊल की मृत्यु के बाद, दाऊद ने सम्पूर्ण इस्राएल पर अपना सिंहासन स्थापित करने और इस्राएली राज्य के विस्तार का प्रयास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