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w:t>
      </w:r>
      <w:r>
        <w:rPr>
          <w:lang w:val="id_ID" w:bidi="id_ID"/>
        </w:rPr>
      </w:r>
    </w:p>
    <w:p>
      <w:pPr/>
      <w:r>
        <w:rPr>
          <w:lang w:val="id_ID" w:bidi="id_ID"/>
        </w:rPr>
      </w:r>
      <w:r>
        <w:rPr>
          <w:lang w:val="id_ID" w:bidi="id_ID"/>
        </w:rPr>
        <w:t>Surat Paulus kepada Jemaat di Efesus</w:t>
      </w:r>
    </w:p>
    <w:p>
      <w:pPr>
        <w:pStyle w:val="Heading3"/>
      </w:pPr>
      <w:r>
        <w:rPr>
          <w:lang w:val="id_ID" w:bidi="id_ID"/>
        </w:rPr>
        <w:t>Tujuan</w:t>
      </w:r>
    </w:p>
    <w:p>
      <w:pPr/>
      <w:r>
        <w:rPr>
          <w:lang w:val="id_ID" w:bidi="id_ID"/>
        </w:rPr>
      </w:r>
      <w:r>
        <w:rPr>
          <w:lang w:val="id_ID" w:bidi="id_ID"/>
        </w:rPr>
        <w:t>Menjabarkan cakupan anugerah Allah, mendorong kesatuan di antara orang-orang percaya berlatar belakang Yahudi dan non-Yahudi, dan menunjukkan seperti apa kehidupan baru di dalam Kristus itu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mungkin di kota Roma atau Efesus, setelah Kabar Baik telah menyebar di seluruh Asia Kecil, dan orang-orang percaya di wilayah itu memerlukan ajaran yang lebih rinci mengenai implikasi-implikasi dari keyakinan baru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