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JDG</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Судей</w:t>
      </w:r>
      <w:r>
        <w:rPr>
          <w:lang w:val="ru_RU" w:bidi="ru_RU"/>
        </w:rPr>
      </w:r>
    </w:p>
    <w:p>
      <w:pPr/>
      <w:r>
        <w:rPr>
          <w:lang w:val="ru_RU" w:bidi="ru_RU"/>
        </w:rPr>
      </w:r>
      <w:r>
        <w:rPr>
          <w:lang w:val="ru_RU" w:bidi="ru_RU"/>
        </w:rPr>
        <w:t>Книга Судей</w:t>
      </w:r>
    </w:p>
    <w:p>
      <w:pPr>
        <w:pStyle w:val="Heading3"/>
      </w:pPr>
      <w:r>
        <w:rPr>
          <w:lang w:val="ru_RU" w:bidi="ru_RU"/>
        </w:rPr>
        <w:t>Цель</w:t>
      </w:r>
    </w:p>
    <w:p>
      <w:pPr/>
      <w:r>
        <w:rPr>
          <w:lang w:val="ru_RU" w:bidi="ru_RU"/>
        </w:rPr>
      </w:r>
      <w:r>
        <w:rPr>
          <w:lang w:val="ru_RU" w:bidi="ru_RU"/>
        </w:rPr>
        <w:t>Описать период правления судей и привести доводы в пользу израильской монархии.</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или в 1376–1050 гг. до Р.Х., или в 1200–1050 гг. до Р.Х.</w:t>
      </w:r>
    </w:p>
    <w:p>
      <w:pPr>
        <w:pStyle w:val="Heading3"/>
      </w:pPr>
      <w:r>
        <w:rPr>
          <w:lang w:val="ru_RU" w:bidi="ru_RU"/>
        </w:rPr>
        <w:t>Контекст</w:t>
      </w:r>
    </w:p>
    <w:p>
      <w:pPr/>
      <w:r>
        <w:rPr>
          <w:lang w:val="ru_RU" w:bidi="ru_RU"/>
        </w:rPr>
      </w:r>
      <w:r>
        <w:rPr>
          <w:lang w:val="ru_RU" w:bidi="ru_RU"/>
        </w:rPr>
        <w:t>Израилю не удавалось полностью завоевать Землю обетованную, и он неоднократно сталкивался с угнетением со стороны врагов.</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