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RUT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Руфь</w:t>
      </w:r>
      <w:r>
        <w:rPr>
          <w:lang w:val="ru_RU" w:bidi="ru_RU"/>
        </w:rPr>
      </w:r>
    </w:p>
    <w:p>
      <w:pPr/>
      <w:r>
        <w:rPr>
          <w:lang w:val="ru_RU" w:bidi="ru_RU"/>
        </w:rPr>
      </w:r>
      <w:r>
        <w:rPr>
          <w:lang w:val="ru_RU" w:bidi="ru_RU"/>
        </w:rPr>
        <w:t>Книга Руфь</w:t>
      </w:r>
    </w:p>
    <w:p>
      <w:pPr>
        <w:pStyle w:val="Heading3"/>
      </w:pPr>
      <w:r>
        <w:rPr>
          <w:lang w:val="ru_RU" w:bidi="ru_RU"/>
        </w:rPr>
        <w:t>Цель</w:t>
      </w:r>
    </w:p>
    <w:p>
      <w:pPr/>
      <w:r>
        <w:rPr>
          <w:lang w:val="ru_RU" w:bidi="ru_RU"/>
        </w:rPr>
      </w:r>
      <w:r>
        <w:rPr>
          <w:lang w:val="ru_RU" w:bidi="ru_RU"/>
        </w:rPr>
        <w:t>Рассказать вдохновляющую историю Руфи и проследить историю царя Давида.</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1100 году до Р.Х.</w:t>
      </w:r>
    </w:p>
    <w:p>
      <w:pPr>
        <w:pStyle w:val="Heading3"/>
      </w:pPr>
      <w:r>
        <w:rPr>
          <w:lang w:val="ru_RU" w:bidi="ru_RU"/>
        </w:rPr>
        <w:t>Контекст</w:t>
      </w:r>
    </w:p>
    <w:p>
      <w:pPr/>
      <w:r>
        <w:rPr>
          <w:lang w:val="ru_RU" w:bidi="ru_RU"/>
        </w:rPr>
      </w:r>
      <w:r>
        <w:rPr>
          <w:lang w:val="ru_RU" w:bidi="ru_RU"/>
        </w:rPr>
        <w:t>Период правления судей, во время поразившего Вифлеем голода и непосредственно после него.</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