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Царств</w:t>
      </w:r>
      <w:r>
        <w:rPr>
          <w:lang w:val="ru_RU" w:bidi="ru_RU"/>
        </w:rPr>
      </w:r>
    </w:p>
    <w:p>
      <w:pPr/>
      <w:r>
        <w:rPr>
          <w:lang w:val="ru_RU" w:bidi="ru_RU"/>
        </w:rPr>
      </w:r>
      <w:r>
        <w:rPr>
          <w:lang w:val="ru_RU" w:bidi="ru_RU"/>
        </w:rPr>
        <w:t>Первая книга Царств</w:t>
      </w:r>
    </w:p>
    <w:p>
      <w:pPr>
        <w:pStyle w:val="Heading3"/>
      </w:pPr>
      <w:r>
        <w:rPr>
          <w:lang w:val="ru_RU" w:bidi="ru_RU"/>
        </w:rPr>
        <w:t>Цель</w:t>
      </w:r>
    </w:p>
    <w:p>
      <w:pPr/>
      <w:r>
        <w:rPr>
          <w:lang w:val="ru_RU" w:bidi="ru_RU"/>
        </w:rPr>
      </w:r>
      <w:r>
        <w:rPr>
          <w:lang w:val="ru_RU" w:bidi="ru_RU"/>
        </w:rPr>
        <w:t>Рассказать о становлении израильской монархии и подчеркнуть различия в характере двух первых царей Израиля.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1050–1011 гг. до Р.Х.</w:t>
      </w:r>
    </w:p>
    <w:p>
      <w:pPr>
        <w:pStyle w:val="Heading3"/>
      </w:pPr>
      <w:r>
        <w:rPr>
          <w:lang w:val="ru_RU" w:bidi="ru_RU"/>
        </w:rPr>
        <w:t>Контекст</w:t>
      </w:r>
    </w:p>
    <w:p>
      <w:pPr/>
      <w:r>
        <w:rPr>
          <w:lang w:val="ru_RU" w:bidi="ru_RU"/>
        </w:rPr>
      </w:r>
      <w:r>
        <w:rPr>
          <w:lang w:val="ru_RU" w:bidi="ru_RU"/>
        </w:rPr>
        <w:t>Переход от периода судей к израильской монархии.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