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Carta de Pablo a Filemón</w:t>
      </w:r>
    </w:p>
    <w:p>
      <w:pPr>
        <w:pStyle w:val="Heading3"/>
      </w:pPr>
      <w:r>
        <w:rPr>
          <w:lang w:val="es_ES" w:bidi="es_ES"/>
        </w:rPr>
        <w:t>Propósito</w:t>
      </w:r>
    </w:p>
    <w:p>
      <w:pPr/>
      <w:r>
        <w:rPr>
          <w:lang w:val="es_ES" w:bidi="es_ES"/>
        </w:rPr>
      </w:r>
      <w:r>
        <w:rPr>
          <w:lang w:val="es_ES" w:bidi="es_ES"/>
        </w:rPr>
        <w:t>Animar a Filemón a recibir de nuevo a su esclavo Onésimo, quien se había convertido en creyente</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después de haber encontrado a Onésimo, quien aparentemente era un esclavo fugitivo de Filemón, un líder cristiano en Colosas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