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w:t>
      </w:r>
    </w:p>
    <w:p>
      <w:pPr>
        <w:pStyle w:val="Heading3"/>
      </w:pPr>
      <w:r>
        <w:rPr>
          <w:lang w:val="sw_KE" w:bidi="sw_KE"/>
        </w:rPr>
        <w:t>Kusudi</w:t>
      </w:r>
    </w:p>
    <w:p>
      <w:pPr/>
      <w:r>
        <w:rPr>
          <w:lang w:val="sw_KE" w:bidi="sw_KE"/>
        </w:rPr>
      </w:r>
      <w:r>
        <w:rPr>
          <w:lang w:val="sw_KE" w:bidi="sw_KE"/>
        </w:rPr>
        <w:t>Kusimulia simulizi kuhusu wigo mpana wa ukuu wa Mungu na wokovu wake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Wakati ambapo ushawishi wa Ashuru katika nchi ya Israeli ulikuwa umepungua kwa muda, inawezekana ilikuwa 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