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w:t>
      </w:r>
      <w:r>
        <w:rPr>
          <w:lang w:val="hi_IN" w:bidi="hi_IN"/>
        </w:rPr>
      </w:r>
    </w:p>
    <w:p>
      <w:pPr/>
      <w:r>
        <w:rPr>
          <w:lang w:val="hi_IN" w:bidi="hi_IN"/>
        </w:rPr>
      </w:r>
      <w:r>
        <w:rPr>
          <w:lang w:val="hi_IN" w:bidi="hi_IN"/>
        </w:rPr>
        <w:t>शमूएल की पहली पुस्तक</w:t>
      </w:r>
    </w:p>
    <w:p>
      <w:pPr>
        <w:pStyle w:val="Heading3"/>
      </w:pPr>
      <w:r>
        <w:rPr>
          <w:lang w:val="hi_IN" w:bidi="hi_IN"/>
        </w:rPr>
        <w:t>उद्देश्य</w:t>
      </w:r>
    </w:p>
    <w:p>
      <w:pPr/>
      <w:r>
        <w:rPr>
          <w:lang w:val="hi_IN" w:bidi="hi_IN"/>
        </w:rPr>
      </w:r>
      <w:r>
        <w:rPr>
          <w:lang w:val="hi_IN" w:bidi="hi_IN"/>
        </w:rPr>
        <w:t>इस्राएली साम्राज्य की स्थापना का वर्णन करना और इस्राएल के पहले दो राजाओं के भिन्न चरित्र पर प्रकाश डालना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1050–1011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न्यायियों के समय काल से इस्राएली साम्राज्य में परिवर्तित होने के समय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