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سِفر يونان</w:t>
      </w:r>
    </w:p>
    <w:p>
      <w:pPr>
        <w:pStyle w:val="Heading3"/>
        <w:bidi/>
      </w:pPr>
      <w:r>
        <w:rPr>
          <w:lang w:val="ar_AE" w:bidi="ar_AE"/>
        </w:rPr>
        <w:t>الهدف</w:t>
      </w:r>
    </w:p>
    <w:p>
      <w:pPr>
        <w:bidi/>
      </w:pPr>
      <w:r>
        <w:rPr>
          <w:lang w:val="ar_AE" w:bidi="ar_AE"/>
        </w:rPr>
      </w:r>
      <w:r>
        <w:rPr>
          <w:lang w:val="ar_AE" w:bidi="ar_AE"/>
        </w:rPr>
        <w:t>سرد قصة عن النطاق البعيد لسيادة الله وخلاصه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في زمن تقهقُر النفوذ الآشوري في إسرائيل مؤقتًا، على الأرجح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