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سِفر أعمال الرسل</w:t>
      </w:r>
    </w:p>
    <w:p>
      <w:pPr>
        <w:pStyle w:val="Heading3"/>
        <w:bidi/>
      </w:pPr>
      <w:r>
        <w:rPr>
          <w:lang w:val="ar_AE" w:bidi="ar_AE"/>
        </w:rPr>
        <w:t>الهدف</w:t>
      </w:r>
    </w:p>
    <w:p>
      <w:pPr>
        <w:bidi/>
      </w:pPr>
      <w:r>
        <w:rPr>
          <w:lang w:val="ar_AE" w:bidi="ar_AE"/>
        </w:rPr>
      </w:r>
      <w:r>
        <w:rPr>
          <w:lang w:val="ar_AE" w:bidi="ar_AE"/>
        </w:rPr>
        <w:t>إيضاح انتشار بشارة الرب يسوع المسيح، وولادة الكنيسة من أورشليم إلى جميع أنحاء العالم الروماني</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على الأرجح بين أوائل ستينيات القرن الأول بعد الميلاد ومنتصف الثمانينيات بعد الميلادتنتهي الأحداث المسجَّلة في سفر أعمال الرسل في أوائل ستينيات القرن الأول الميلادي، لكن الرأي السائد يشير إلى أنه كُتبَ لاحقًا، على افتراض أنَّ لوقا استعان بإنجيل مرقس، الذي كُتِبَ على الأرجح أواخر الستينيات، مصدرًا في تدوين إنجيله</w:t>
      </w:r>
    </w:p>
    <w:p>
      <w:pPr>
        <w:pStyle w:val="Heading3"/>
        <w:bidi/>
      </w:pPr>
      <w:r>
        <w:rPr>
          <w:lang w:val="ar_AE" w:bidi="ar_AE"/>
        </w:rPr>
        <w:t>السياق</w:t>
      </w:r>
    </w:p>
    <w:p>
      <w:pPr>
        <w:bidi/>
      </w:pPr>
      <w:r>
        <w:rPr>
          <w:lang w:val="ar_AE" w:bidi="ar_AE"/>
        </w:rPr>
      </w:r>
      <w:r>
        <w:rPr>
          <w:lang w:val="ar_AE" w:bidi="ar_AE"/>
        </w:rPr>
        <w:t>كُتبَ في الوقت الذي انتشرت فيه بشارة الرب يسوع في جميع أرجاء عالم البحر الأبيض المتوسط، وأصبح من الواضح أن خلاص الله امتدَّ إلى اليهود والأمم.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