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La deuxième lettre de Pierre</w:t>
      </w:r>
    </w:p>
    <w:p>
      <w:pPr>
        <w:pStyle w:val="Heading3"/>
      </w:pPr>
      <w:r>
        <w:rPr>
          <w:lang w:val="fr_FR" w:bidi="fr_FR"/>
        </w:rPr>
        <w:t>Dessein</w:t>
      </w:r>
    </w:p>
    <w:p>
      <w:pPr/>
      <w:r>
        <w:rPr>
          <w:lang w:val="fr_FR" w:bidi="fr_FR"/>
        </w:rPr>
      </w:r>
      <w:r>
        <w:rPr>
          <w:lang w:val="fr_FR" w:bidi="fr_FR"/>
        </w:rPr>
        <w:t>Dénoncer les faux enseignants et encourager à continuer à grandir dans la foi</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Adressé aux mêmes groupes de croyants que 1 Pierre, dont les communautés étaient infiltrées par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