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اللاويين</w:t>
      </w:r>
      <w:r>
        <w:rPr>
          <w:rtl/>
          <w:cs/>
          <w:lang w:val="ar_AE" w:bidi="ar_AE"/>
        </w:rPr>
      </w:r>
    </w:p>
    <w:p>
      <w:pPr>
        <w:bidi/>
      </w:pPr>
      <w:r>
        <w:rPr>
          <w:rtl/>
          <w:cs/>
          <w:lang w:val="ar_AE" w:bidi="ar_AE"/>
        </w:rPr>
      </w:r>
      <w:r>
        <w:rPr>
          <w:rtl/>
          <w:cs/>
          <w:lang w:val="ar_AE" w:bidi="ar_AE"/>
        </w:rPr>
        <w:t>سِفر اللاويين</w:t>
      </w:r>
    </w:p>
    <w:p>
      <w:pPr>
        <w:pStyle w:val="Heading3"/>
        <w:bidi/>
      </w:pPr>
      <w:r>
        <w:rPr>
          <w:rtl/>
          <w:cs/>
          <w:lang w:val="ar_AE" w:bidi="ar_AE"/>
        </w:rPr>
        <w:t>الهدف</w:t>
      </w:r>
    </w:p>
    <w:p>
      <w:pPr>
        <w:bidi/>
      </w:pPr>
      <w:r>
        <w:rPr>
          <w:rtl/>
          <w:cs/>
          <w:lang w:val="ar_AE" w:bidi="ar_AE"/>
        </w:rPr>
      </w:r>
      <w:r>
        <w:rPr>
          <w:rtl/>
          <w:cs/>
          <w:lang w:val="ar_AE" w:bidi="ar_AE"/>
        </w:rPr>
        <w:t>إظهار قداسة الله وتوجيه شعبه ليحيا حياة القداسة</w:t>
      </w:r>
    </w:p>
    <w:p>
      <w:pPr>
        <w:pStyle w:val="Heading3"/>
        <w:bidi/>
      </w:pPr>
      <w:r>
        <w:rPr>
          <w:rtl/>
          <w:cs/>
          <w:lang w:val="ar_AE" w:bidi="ar_AE"/>
        </w:rPr>
        <w:t>الكاتب</w:t>
      </w:r>
    </w:p>
    <w:p>
      <w:pPr>
        <w:bidi/>
      </w:pPr>
      <w:r>
        <w:rPr>
          <w:rtl/>
          <w:cs/>
          <w:lang w:val="ar_AE" w:bidi="ar_AE"/>
        </w:rPr>
      </w:r>
      <w:r>
        <w:rPr>
          <w:rtl/>
          <w:cs/>
          <w:lang w:val="ar_AE" w:bidi="ar_AE"/>
        </w:rPr>
        <w:t>موسى، بحسب التقليد</w:t>
      </w:r>
    </w:p>
    <w:p>
      <w:pPr>
        <w:pStyle w:val="Heading3"/>
        <w:bidi/>
      </w:pPr>
      <w:r>
        <w:rPr>
          <w:rtl/>
          <w:cs/>
          <w:lang w:val="ar_AE" w:bidi="ar_AE"/>
        </w:rPr>
        <w:t>الزمن</w:t>
      </w:r>
    </w:p>
    <w:p>
      <w:pPr>
        <w:bidi/>
      </w:pPr>
      <w:r>
        <w:rPr>
          <w:rtl/>
          <w:cs/>
          <w:lang w:val="ar_AE" w:bidi="ar_AE"/>
        </w:rPr>
      </w:r>
      <w:r>
        <w:rPr>
          <w:rtl/>
          <w:cs/>
          <w:lang w:val="ar_AE" w:bidi="ar_AE"/>
        </w:rPr>
        <w:t>يسجِّل الأحداث التي حدثت على الأرجح نحو عام 1446 قبل الميلاد أو 1270 قبل الميلاد</w:t>
      </w:r>
    </w:p>
    <w:p>
      <w:pPr>
        <w:pStyle w:val="Heading3"/>
        <w:bidi/>
      </w:pPr>
      <w:r>
        <w:rPr>
          <w:rtl/>
          <w:cs/>
          <w:lang w:val="ar_AE" w:bidi="ar_AE"/>
        </w:rPr>
        <w:t>السياق</w:t>
      </w:r>
    </w:p>
    <w:p>
      <w:pPr>
        <w:bidi/>
      </w:pPr>
      <w:r>
        <w:rPr>
          <w:rtl/>
          <w:cs/>
          <w:lang w:val="ar_AE" w:bidi="ar_AE"/>
        </w:rPr>
      </w:r>
      <w:r>
        <w:rPr>
          <w:rtl/>
          <w:cs/>
          <w:lang w:val="ar_AE" w:bidi="ar_AE"/>
        </w:rPr>
        <w:t>إقامة شعب إسرائيل ليكون شعب عهد الله، وخيموا عند سفح جبل سيناء</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