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JDG</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القضاة</w:t>
      </w:r>
      <w:r>
        <w:rPr>
          <w:rtl/>
          <w:cs/>
          <w:lang w:val="ar_AE" w:bidi="ar_AE"/>
        </w:rPr>
      </w:r>
    </w:p>
    <w:p>
      <w:pPr>
        <w:bidi/>
      </w:pPr>
      <w:r>
        <w:rPr>
          <w:rtl/>
          <w:cs/>
          <w:lang w:val="ar_AE" w:bidi="ar_AE"/>
        </w:rPr>
      </w:r>
      <w:r>
        <w:rPr>
          <w:rtl/>
          <w:cs/>
          <w:lang w:val="ar_AE" w:bidi="ar_AE"/>
        </w:rPr>
        <w:t>سِفر القضاة</w:t>
      </w:r>
    </w:p>
    <w:p>
      <w:pPr>
        <w:pStyle w:val="Heading3"/>
        <w:bidi/>
      </w:pPr>
      <w:r>
        <w:rPr>
          <w:rtl/>
          <w:cs/>
          <w:lang w:val="ar_AE" w:bidi="ar_AE"/>
        </w:rPr>
        <w:t>الهدف</w:t>
      </w:r>
    </w:p>
    <w:p>
      <w:pPr>
        <w:bidi/>
      </w:pPr>
      <w:r>
        <w:rPr>
          <w:rtl/>
          <w:cs/>
          <w:lang w:val="ar_AE" w:bidi="ar_AE"/>
        </w:rPr>
      </w:r>
      <w:r>
        <w:rPr>
          <w:rtl/>
          <w:cs/>
          <w:lang w:val="ar_AE" w:bidi="ar_AE"/>
        </w:rPr>
        <w:t>وصف عهد القضاة وعرض قضية المَلَكيَّة الإسرائيلية</w:t>
      </w:r>
    </w:p>
    <w:p>
      <w:pPr>
        <w:pStyle w:val="Heading3"/>
        <w:bidi/>
      </w:pPr>
      <w:r>
        <w:rPr>
          <w:rtl/>
          <w:cs/>
          <w:lang w:val="ar_AE" w:bidi="ar_AE"/>
        </w:rPr>
        <w:t>الكاتب</w:t>
      </w:r>
    </w:p>
    <w:p>
      <w:pPr>
        <w:bidi/>
      </w:pPr>
      <w:r>
        <w:rPr>
          <w:rtl/>
          <w:cs/>
          <w:lang w:val="ar_AE" w:bidi="ar_AE"/>
        </w:rPr>
      </w:r>
      <w:r>
        <w:rPr>
          <w:rtl/>
          <w:cs/>
          <w:lang w:val="ar_AE" w:bidi="ar_AE"/>
        </w:rPr>
        <w:t>مجهول</w:t>
      </w:r>
    </w:p>
    <w:p>
      <w:pPr>
        <w:pStyle w:val="Heading3"/>
        <w:bidi/>
      </w:pPr>
      <w:r>
        <w:rPr>
          <w:rtl/>
          <w:cs/>
          <w:lang w:val="ar_AE" w:bidi="ar_AE"/>
        </w:rPr>
        <w:t>الزمن</w:t>
      </w:r>
    </w:p>
    <w:p>
      <w:pPr>
        <w:bidi/>
      </w:pPr>
      <w:r>
        <w:rPr>
          <w:rtl/>
          <w:cs/>
          <w:lang w:val="ar_AE" w:bidi="ar_AE"/>
        </w:rPr>
      </w:r>
      <w:r>
        <w:rPr>
          <w:rtl/>
          <w:cs/>
          <w:lang w:val="ar_AE" w:bidi="ar_AE"/>
        </w:rPr>
        <w:t>يسجِّل الأحداث التي وقعت في الفترة من 1376 إلى 1050 قبل الميلاد أو 1200–1050 قبل الميلاد</w:t>
      </w:r>
    </w:p>
    <w:p>
      <w:pPr>
        <w:pStyle w:val="Heading3"/>
        <w:bidi/>
      </w:pPr>
      <w:r>
        <w:rPr>
          <w:rtl/>
          <w:cs/>
          <w:lang w:val="ar_AE" w:bidi="ar_AE"/>
        </w:rPr>
        <w:t>السياق</w:t>
      </w:r>
    </w:p>
    <w:p>
      <w:pPr>
        <w:bidi/>
      </w:pPr>
      <w:r>
        <w:rPr>
          <w:rtl/>
          <w:cs/>
          <w:lang w:val="ar_AE" w:bidi="ar_AE"/>
        </w:rPr>
      </w:r>
      <w:r>
        <w:rPr>
          <w:rtl/>
          <w:cs/>
          <w:lang w:val="ar_AE" w:bidi="ar_AE"/>
        </w:rPr>
        <w:t>كادت تخفق إسرائيل في الاستيلاء على أرض الميعاد كاملةً وواجهت اضطهادًا متكررًا من الأعداء</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