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صموئيل الأول</w:t>
      </w:r>
      <w:r>
        <w:rPr>
          <w:rtl/>
          <w:cs/>
          <w:lang w:val="ar_AE" w:bidi="ar_AE"/>
        </w:rPr>
      </w:r>
    </w:p>
    <w:p>
      <w:pPr>
        <w:bidi/>
      </w:pPr>
      <w:r>
        <w:rPr>
          <w:rtl/>
          <w:cs/>
          <w:lang w:val="ar_AE" w:bidi="ar_AE"/>
        </w:rPr>
      </w:r>
      <w:r>
        <w:rPr>
          <w:rtl/>
          <w:cs/>
          <w:lang w:val="ar_AE" w:bidi="ar_AE"/>
        </w:rPr>
        <w:t>سِفر صموئيل الأول</w:t>
      </w:r>
    </w:p>
    <w:p>
      <w:pPr>
        <w:pStyle w:val="Heading3"/>
        <w:bidi/>
      </w:pPr>
      <w:r>
        <w:rPr>
          <w:rtl/>
          <w:cs/>
          <w:lang w:val="ar_AE" w:bidi="ar_AE"/>
        </w:rPr>
        <w:t>الهدف</w:t>
      </w:r>
    </w:p>
    <w:p>
      <w:pPr>
        <w:bidi/>
      </w:pPr>
      <w:r>
        <w:rPr>
          <w:rtl/>
          <w:cs/>
          <w:lang w:val="ar_AE" w:bidi="ar_AE"/>
        </w:rPr>
      </w:r>
      <w:r>
        <w:rPr>
          <w:rtl/>
          <w:cs/>
          <w:lang w:val="ar_AE" w:bidi="ar_AE"/>
        </w:rPr>
        <w:t>تسجيل تأسيس مملكة إسرائيل وتسليط الضوء على الطابع المختلف لملوك إسرائيل الأوائل</w:t>
      </w:r>
    </w:p>
    <w:p>
      <w:pPr>
        <w:pStyle w:val="Heading3"/>
        <w:bidi/>
      </w:pPr>
      <w:r>
        <w:rPr>
          <w:rtl/>
          <w:cs/>
          <w:lang w:val="ar_AE" w:bidi="ar_AE"/>
        </w:rPr>
        <w:t>الكاتب</w:t>
      </w:r>
    </w:p>
    <w:p>
      <w:pPr>
        <w:bidi/>
      </w:pPr>
      <w:r>
        <w:rPr>
          <w:rtl/>
          <w:cs/>
          <w:lang w:val="ar_AE" w:bidi="ar_AE"/>
        </w:rPr>
      </w:r>
      <w:r>
        <w:rPr>
          <w:rtl/>
          <w:cs/>
          <w:lang w:val="ar_AE" w:bidi="ar_AE"/>
        </w:rPr>
        <w:t>مجهول</w:t>
      </w:r>
    </w:p>
    <w:p>
      <w:pPr>
        <w:pStyle w:val="Heading3"/>
        <w:bidi/>
      </w:pPr>
      <w:r>
        <w:rPr>
          <w:rtl/>
          <w:cs/>
          <w:lang w:val="ar_AE" w:bidi="ar_AE"/>
        </w:rPr>
        <w:t>الزمن</w:t>
      </w:r>
    </w:p>
    <w:p>
      <w:pPr>
        <w:bidi/>
      </w:pPr>
      <w:r>
        <w:rPr>
          <w:rtl/>
          <w:cs/>
          <w:lang w:val="ar_AE" w:bidi="ar_AE"/>
        </w:rPr>
      </w:r>
      <w:r>
        <w:rPr>
          <w:rtl/>
          <w:cs/>
          <w:lang w:val="ar_AE" w:bidi="ar_AE"/>
        </w:rPr>
        <w:t>يسجِّل الأحداث التي وقعت نحو 1050–1011 قبل الميلاد</w:t>
      </w:r>
    </w:p>
    <w:p>
      <w:pPr>
        <w:pStyle w:val="Heading3"/>
        <w:bidi/>
      </w:pPr>
      <w:r>
        <w:rPr>
          <w:rtl/>
          <w:cs/>
          <w:lang w:val="ar_AE" w:bidi="ar_AE"/>
        </w:rPr>
        <w:t>السياق</w:t>
      </w:r>
    </w:p>
    <w:p>
      <w:pPr>
        <w:bidi/>
      </w:pPr>
      <w:r>
        <w:rPr>
          <w:rtl/>
          <w:cs/>
          <w:lang w:val="ar_AE" w:bidi="ar_AE"/>
        </w:rPr>
      </w:r>
      <w:r>
        <w:rPr>
          <w:rtl/>
          <w:cs/>
          <w:lang w:val="ar_AE" w:bidi="ar_AE"/>
        </w:rPr>
        <w:t>الانتقال من فترة القضاة إلى عصر ملوك إسرائيل</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