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JER</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إرميا</w:t>
      </w:r>
      <w:r>
        <w:rPr>
          <w:rtl/>
          <w:cs/>
          <w:lang w:val="ar_AE" w:bidi="ar_AE"/>
        </w:rPr>
      </w:r>
    </w:p>
    <w:p>
      <w:pPr>
        <w:bidi/>
      </w:pPr>
      <w:r>
        <w:rPr>
          <w:rtl/>
          <w:cs/>
          <w:lang w:val="ar_AE" w:bidi="ar_AE"/>
        </w:rPr>
      </w:r>
      <w:r>
        <w:rPr>
          <w:rtl/>
          <w:cs/>
          <w:lang w:val="ar_AE" w:bidi="ar_AE"/>
        </w:rPr>
        <w:t>سِفر إرميا</w:t>
      </w:r>
    </w:p>
    <w:p>
      <w:pPr>
        <w:pStyle w:val="Heading3"/>
        <w:bidi/>
      </w:pPr>
      <w:r>
        <w:rPr>
          <w:rtl/>
          <w:cs/>
          <w:lang w:val="ar_AE" w:bidi="ar_AE"/>
        </w:rPr>
        <w:t>الهدف</w:t>
      </w:r>
    </w:p>
    <w:p>
      <w:pPr>
        <w:bidi/>
      </w:pPr>
      <w:r>
        <w:rPr>
          <w:rtl/>
          <w:cs/>
          <w:lang w:val="ar_AE" w:bidi="ar_AE"/>
        </w:rPr>
      </w:r>
      <w:r>
        <w:rPr>
          <w:rtl/>
          <w:cs/>
          <w:lang w:val="ar_AE" w:bidi="ar_AE"/>
        </w:rPr>
        <w:t>تحذير يهوذا من الدمار الآتي، وتوضيح أسباب دينونة الله، وشجيع تجديد التكريس للرب</w:t>
      </w:r>
    </w:p>
    <w:p>
      <w:pPr>
        <w:pStyle w:val="Heading3"/>
        <w:bidi/>
      </w:pPr>
      <w:r>
        <w:rPr>
          <w:rtl/>
          <w:cs/>
          <w:lang w:val="ar_AE" w:bidi="ar_AE"/>
        </w:rPr>
        <w:t>الكاتب</w:t>
      </w:r>
    </w:p>
    <w:p>
      <w:pPr>
        <w:bidi/>
      </w:pPr>
      <w:r>
        <w:rPr>
          <w:rtl/>
          <w:cs/>
          <w:lang w:val="ar_AE" w:bidi="ar_AE"/>
        </w:rPr>
      </w:r>
      <w:r>
        <w:rPr>
          <w:rtl/>
          <w:cs/>
          <w:lang w:val="ar_AE" w:bidi="ar_AE"/>
        </w:rPr>
        <w:t>المحتوى مصدره إرميا، لكن الكاتب ربما يكون باروخ</w:t>
      </w:r>
    </w:p>
    <w:p>
      <w:pPr>
        <w:pStyle w:val="Heading3"/>
        <w:bidi/>
      </w:pPr>
      <w:r>
        <w:rPr>
          <w:rtl/>
          <w:cs/>
          <w:lang w:val="ar_AE" w:bidi="ar_AE"/>
        </w:rPr>
        <w:t>الزمن</w:t>
      </w:r>
    </w:p>
    <w:p>
      <w:pPr>
        <w:bidi/>
      </w:pPr>
      <w:r>
        <w:rPr>
          <w:rtl/>
          <w:cs/>
          <w:lang w:val="ar_AE" w:bidi="ar_AE"/>
        </w:rPr>
      </w:r>
      <w:r>
        <w:rPr>
          <w:rtl/>
          <w:cs/>
          <w:lang w:val="ar_AE" w:bidi="ar_AE"/>
        </w:rPr>
        <w:t>نحو 627–580 قبل الميلاد</w:t>
      </w:r>
    </w:p>
    <w:p>
      <w:pPr>
        <w:pStyle w:val="Heading3"/>
        <w:bidi/>
      </w:pPr>
      <w:r>
        <w:rPr>
          <w:rtl/>
          <w:cs/>
          <w:lang w:val="ar_AE" w:bidi="ar_AE"/>
        </w:rPr>
        <w:t>السياق</w:t>
      </w:r>
    </w:p>
    <w:p>
      <w:pPr>
        <w:bidi/>
      </w:pPr>
      <w:r>
        <w:rPr>
          <w:rtl/>
          <w:cs/>
          <w:lang w:val="ar_AE" w:bidi="ar_AE"/>
        </w:rPr>
      </w:r>
      <w:r>
        <w:rPr>
          <w:rtl/>
          <w:cs/>
          <w:lang w:val="ar_AE" w:bidi="ar_AE"/>
        </w:rPr>
        <w:t>السنوات الأخيرة لمملكة يهوذا، والغزو البابلي لأورشليم وتدميرها، والسنوات الأولى لسبي يهوذا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