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يونان</w:t>
      </w:r>
      <w:r>
        <w:rPr>
          <w:rtl/>
          <w:cs/>
          <w:lang w:val="ar_AE" w:bidi="ar_AE"/>
        </w:rPr>
      </w:r>
    </w:p>
    <w:p>
      <w:pPr>
        <w:bidi/>
      </w:pPr>
      <w:r>
        <w:rPr>
          <w:rtl/>
          <w:cs/>
          <w:lang w:val="ar_AE" w:bidi="ar_AE"/>
        </w:rPr>
      </w:r>
      <w:r>
        <w:rPr>
          <w:rtl/>
          <w:cs/>
          <w:lang w:val="ar_AE" w:bidi="ar_AE"/>
        </w:rPr>
        <w:t>سِفر يونان</w:t>
      </w:r>
    </w:p>
    <w:p>
      <w:pPr>
        <w:pStyle w:val="Heading3"/>
        <w:bidi/>
      </w:pPr>
      <w:r>
        <w:rPr>
          <w:rtl/>
          <w:cs/>
          <w:lang w:val="ar_AE" w:bidi="ar_AE"/>
        </w:rPr>
        <w:t>الهدف</w:t>
      </w:r>
    </w:p>
    <w:p>
      <w:pPr>
        <w:bidi/>
      </w:pPr>
      <w:r>
        <w:rPr>
          <w:rtl/>
          <w:cs/>
          <w:lang w:val="ar_AE" w:bidi="ar_AE"/>
        </w:rPr>
      </w:r>
      <w:r>
        <w:rPr>
          <w:rtl/>
          <w:cs/>
          <w:lang w:val="ar_AE" w:bidi="ar_AE"/>
        </w:rPr>
        <w:t>سرد قصة عن النطاق البعيد لسيادة الله وخلاصه</w:t>
      </w:r>
    </w:p>
    <w:p>
      <w:pPr>
        <w:pStyle w:val="Heading3"/>
        <w:bidi/>
      </w:pPr>
      <w:r>
        <w:rPr>
          <w:rtl/>
          <w:cs/>
          <w:lang w:val="ar_AE" w:bidi="ar_AE"/>
        </w:rPr>
        <w:t>الكاتب</w:t>
      </w:r>
    </w:p>
    <w:p>
      <w:pPr>
        <w:bidi/>
      </w:pPr>
      <w:r>
        <w:rPr>
          <w:rtl/>
          <w:cs/>
          <w:lang w:val="ar_AE" w:bidi="ar_AE"/>
        </w:rPr>
      </w:r>
      <w:r>
        <w:rPr>
          <w:rtl/>
          <w:cs/>
          <w:lang w:val="ar_AE" w:bidi="ar_AE"/>
        </w:rPr>
        <w:t>مجهول</w:t>
      </w:r>
    </w:p>
    <w:p>
      <w:pPr>
        <w:pStyle w:val="Heading3"/>
        <w:bidi/>
      </w:pPr>
      <w:r>
        <w:rPr>
          <w:rtl/>
          <w:cs/>
          <w:lang w:val="ar_AE" w:bidi="ar_AE"/>
        </w:rPr>
        <w:t>الزمن</w:t>
      </w:r>
    </w:p>
    <w:p>
      <w:pPr>
        <w:bidi/>
      </w:pPr>
      <w:r>
        <w:rPr>
          <w:rtl/>
          <w:cs/>
          <w:lang w:val="ar_AE" w:bidi="ar_AE"/>
        </w:rPr>
      </w:r>
      <w:r>
        <w:rPr>
          <w:rtl/>
          <w:cs/>
          <w:lang w:val="ar_AE" w:bidi="ar_AE"/>
        </w:rPr>
        <w:t>نحو 755 قبل الميلاد</w:t>
      </w:r>
    </w:p>
    <w:p>
      <w:pPr>
        <w:pStyle w:val="Heading3"/>
        <w:bidi/>
      </w:pPr>
      <w:r>
        <w:rPr>
          <w:rtl/>
          <w:cs/>
          <w:lang w:val="ar_AE" w:bidi="ar_AE"/>
        </w:rPr>
        <w:t>السياق</w:t>
      </w:r>
    </w:p>
    <w:p>
      <w:pPr>
        <w:bidi/>
      </w:pPr>
      <w:r>
        <w:rPr>
          <w:rtl/>
          <w:cs/>
          <w:lang w:val="ar_AE" w:bidi="ar_AE"/>
        </w:rPr>
      </w:r>
      <w:r>
        <w:rPr>
          <w:rtl/>
          <w:cs/>
          <w:lang w:val="ar_AE" w:bidi="ar_AE"/>
        </w:rPr>
        <w:t>في زمن تقهقُر النفوذ الآشوري في إسرائيل مؤقتًا، على الأرجح في عهد يربعام الثاني</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