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ZEP</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صفنيا</w:t>
      </w:r>
      <w:r>
        <w:rPr>
          <w:rtl/>
          <w:cs/>
          <w:lang w:val="ar_AE" w:bidi="ar_AE"/>
        </w:rPr>
      </w:r>
    </w:p>
    <w:p>
      <w:pPr>
        <w:bidi/>
      </w:pPr>
      <w:r>
        <w:rPr>
          <w:rtl/>
          <w:cs/>
          <w:lang w:val="ar_AE" w:bidi="ar_AE"/>
        </w:rPr>
      </w:r>
      <w:r>
        <w:rPr>
          <w:rtl/>
          <w:cs/>
          <w:lang w:val="ar_AE" w:bidi="ar_AE"/>
        </w:rPr>
        <w:t>سِفر صفنيا</w:t>
      </w:r>
    </w:p>
    <w:p>
      <w:pPr>
        <w:pStyle w:val="Heading3"/>
        <w:bidi/>
      </w:pPr>
      <w:r>
        <w:rPr>
          <w:rtl/>
          <w:cs/>
          <w:lang w:val="ar_AE" w:bidi="ar_AE"/>
        </w:rPr>
        <w:t>الهدف</w:t>
      </w:r>
    </w:p>
    <w:p>
      <w:pPr>
        <w:bidi/>
      </w:pPr>
      <w:r>
        <w:rPr>
          <w:rtl/>
          <w:cs/>
          <w:lang w:val="ar_AE" w:bidi="ar_AE"/>
        </w:rPr>
      </w:r>
      <w:r>
        <w:rPr>
          <w:rtl/>
          <w:cs/>
          <w:lang w:val="ar_AE" w:bidi="ar_AE"/>
        </w:rPr>
        <w:t>التحذير من "يوم الرب" الآتي والحض على التوبة</w:t>
      </w:r>
    </w:p>
    <w:p>
      <w:pPr>
        <w:pStyle w:val="Heading3"/>
        <w:bidi/>
      </w:pPr>
      <w:r>
        <w:rPr>
          <w:rtl/>
          <w:cs/>
          <w:lang w:val="ar_AE" w:bidi="ar_AE"/>
        </w:rPr>
        <w:t>الكاتب</w:t>
      </w:r>
    </w:p>
    <w:p>
      <w:pPr>
        <w:bidi/>
      </w:pPr>
      <w:r>
        <w:rPr>
          <w:rtl/>
          <w:cs/>
          <w:lang w:val="ar_AE" w:bidi="ar_AE"/>
        </w:rPr>
      </w:r>
      <w:r>
        <w:rPr>
          <w:rtl/>
          <w:cs/>
          <w:lang w:val="ar_AE" w:bidi="ar_AE"/>
        </w:rPr>
        <w:t>سفر صفنيا</w:t>
      </w:r>
    </w:p>
    <w:p>
      <w:pPr>
        <w:pStyle w:val="Heading3"/>
        <w:bidi/>
      </w:pPr>
      <w:r>
        <w:rPr>
          <w:rtl/>
          <w:cs/>
          <w:lang w:val="ar_AE" w:bidi="ar_AE"/>
        </w:rPr>
        <w:t>الزمن</w:t>
      </w:r>
    </w:p>
    <w:p>
      <w:pPr>
        <w:bidi/>
      </w:pPr>
      <w:r>
        <w:rPr>
          <w:rtl/>
          <w:cs/>
          <w:lang w:val="ar_AE" w:bidi="ar_AE"/>
        </w:rPr>
      </w:r>
      <w:r>
        <w:rPr>
          <w:rtl/>
          <w:cs/>
          <w:lang w:val="ar_AE" w:bidi="ar_AE"/>
        </w:rPr>
        <w:t>على الأرجح بين 635 و622 قبل الميلاد</w:t>
      </w:r>
    </w:p>
    <w:p>
      <w:pPr>
        <w:pStyle w:val="Heading3"/>
        <w:bidi/>
      </w:pPr>
      <w:r>
        <w:rPr>
          <w:rtl/>
          <w:cs/>
          <w:lang w:val="ar_AE" w:bidi="ar_AE"/>
        </w:rPr>
        <w:t>السياق</w:t>
      </w:r>
    </w:p>
    <w:p>
      <w:pPr>
        <w:bidi/>
      </w:pPr>
      <w:r>
        <w:rPr>
          <w:rtl/>
          <w:cs/>
          <w:lang w:val="ar_AE" w:bidi="ar_AE"/>
        </w:rPr>
      </w:r>
      <w:r>
        <w:rPr>
          <w:rtl/>
          <w:cs/>
          <w:lang w:val="ar_AE" w:bidi="ar_AE"/>
        </w:rPr>
        <w:t>قرب بداية حكم الملك يوشيَّا في يهوذا، قبل إصلاحاته الدينية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