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بطرس الثانية</w:t>
      </w:r>
      <w:r>
        <w:rPr>
          <w:rtl/>
          <w:cs/>
          <w:lang w:val="ar_AE" w:bidi="ar_AE"/>
        </w:rPr>
      </w:r>
    </w:p>
    <w:p>
      <w:pPr>
        <w:bidi/>
      </w:pPr>
      <w:r>
        <w:rPr>
          <w:rtl/>
          <w:cs/>
          <w:lang w:val="ar_AE" w:bidi="ar_AE"/>
        </w:rPr>
      </w:r>
      <w:r>
        <w:rPr>
          <w:rtl/>
          <w:cs/>
          <w:lang w:val="ar_AE" w:bidi="ar_AE"/>
        </w:rPr>
        <w:t>رسالة بطرس الثانية</w:t>
      </w:r>
    </w:p>
    <w:p>
      <w:pPr>
        <w:pStyle w:val="Heading3"/>
        <w:bidi/>
      </w:pPr>
      <w:r>
        <w:rPr>
          <w:rtl/>
          <w:cs/>
          <w:lang w:val="ar_AE" w:bidi="ar_AE"/>
        </w:rPr>
        <w:t>الهدف</w:t>
      </w:r>
    </w:p>
    <w:p>
      <w:pPr>
        <w:bidi/>
      </w:pPr>
      <w:r>
        <w:rPr>
          <w:rtl/>
          <w:cs/>
          <w:lang w:val="ar_AE" w:bidi="ar_AE"/>
        </w:rPr>
      </w:r>
      <w:r>
        <w:rPr>
          <w:rtl/>
          <w:cs/>
          <w:lang w:val="ar_AE" w:bidi="ar_AE"/>
        </w:rPr>
        <w:t>إدانة المعلِّمين الكَذَبة وتشجيع النمو المستمر في الإيمان</w:t>
      </w:r>
    </w:p>
    <w:p>
      <w:pPr>
        <w:pStyle w:val="Heading3"/>
        <w:bidi/>
      </w:pPr>
      <w:r>
        <w:rPr>
          <w:rtl/>
          <w:cs/>
          <w:lang w:val="ar_AE" w:bidi="ar_AE"/>
        </w:rPr>
        <w:t>الكاتب</w:t>
      </w:r>
    </w:p>
    <w:p>
      <w:pPr>
        <w:bidi/>
      </w:pPr>
      <w:r>
        <w:rPr>
          <w:rtl/>
          <w:cs/>
          <w:lang w:val="ar_AE" w:bidi="ar_AE"/>
        </w:rPr>
      </w:r>
      <w:r>
        <w:rPr>
          <w:rtl/>
          <w:cs/>
          <w:lang w:val="ar_AE" w:bidi="ar_AE"/>
        </w:rPr>
        <w:t>بطرس</w:t>
      </w:r>
    </w:p>
    <w:p>
      <w:pPr>
        <w:pStyle w:val="Heading3"/>
        <w:bidi/>
      </w:pPr>
      <w:r>
        <w:rPr>
          <w:rtl/>
          <w:cs/>
          <w:lang w:val="ar_AE" w:bidi="ar_AE"/>
        </w:rPr>
        <w:t>الزمن</w:t>
      </w:r>
    </w:p>
    <w:p>
      <w:pPr>
        <w:bidi/>
      </w:pPr>
      <w:r>
        <w:rPr>
          <w:rtl/>
          <w:cs/>
          <w:lang w:val="ar_AE" w:bidi="ar_AE"/>
        </w:rPr>
      </w:r>
      <w:r>
        <w:rPr>
          <w:rtl/>
          <w:cs/>
          <w:lang w:val="ar_AE" w:bidi="ar_AE"/>
        </w:rPr>
        <w:t>أوائل ستينيات القرن الأول بعد الميلاد</w:t>
      </w:r>
    </w:p>
    <w:p>
      <w:pPr>
        <w:pStyle w:val="Heading3"/>
        <w:bidi/>
      </w:pPr>
      <w:r>
        <w:rPr>
          <w:rtl/>
          <w:cs/>
          <w:lang w:val="ar_AE" w:bidi="ar_AE"/>
        </w:rPr>
        <w:t>السياق</w:t>
      </w:r>
    </w:p>
    <w:p>
      <w:pPr>
        <w:bidi/>
      </w:pPr>
      <w:r>
        <w:rPr>
          <w:rtl/>
          <w:cs/>
          <w:lang w:val="ar_AE" w:bidi="ar_AE"/>
        </w:rPr>
      </w:r>
      <w:r>
        <w:rPr>
          <w:rtl/>
          <w:cs/>
          <w:lang w:val="ar_AE" w:bidi="ar_AE"/>
        </w:rPr>
        <w:t>كُتب إلى مجموعات المؤمنين نفسها التي تناولتها رسالة بطرس الأولى، والتي كان المعلمون الكَذَبة يتسللون إلى مجتمعاتهم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