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w:t>
      </w:r>
      <w:r>
        <w:rPr>
          <w:lang w:val="en_US" w:bidi="en_US"/>
        </w:rPr>
      </w:r>
    </w:p>
    <w:p>
      <w:pPr>
        <w:pStyle w:val="Heading3"/>
      </w:pPr>
      <w:r>
        <w:rPr>
          <w:lang w:val="en_US" w:bidi="en_US"/>
        </w:rPr>
        <w:t>Purpose</w:t>
      </w:r>
    </w:p>
    <w:p>
      <w:pPr/>
      <w:r>
        <w:rPr>
          <w:lang w:val="en_US" w:bidi="en_US"/>
        </w:rPr>
      </w:r>
      <w:r>
        <w:rPr>
          <w:lang w:val="en_US" w:bidi="en_US"/>
        </w:rPr>
        <w:t xml:space="preserve">To outline </w:t>
      </w:r>
    </w:p>
    <w:p>
      <w:pPr>
        <w:pStyle w:val="ListNumber"/>
        <w:numPr>
          <w:ilvl w:val="0"/>
          <w:numId w:val="14"/>
        </w:numPr>
        <w:spacing w:line="240" w:lineRule="auto"/>
        <w:ind w:left="720"/>
      </w:pPr>
      <w:r>
        <w:rPr>
          <w:lang w:val="en_US" w:bidi="en_US"/>
        </w:rPr>
      </w:r>
      <w:r>
        <w:rPr>
          <w:lang w:val="en_US" w:bidi="en_US"/>
        </w:rPr>
        <w:t xml:space="preserve">the glory of Solomon’s reign, </w:t>
      </w:r>
    </w:p>
    <w:p>
      <w:pPr>
        <w:pStyle w:val="ListNumber"/>
        <w:spacing w:line="240" w:lineRule="auto"/>
        <w:ind w:left="720"/>
      </w:pPr>
      <w:r>
        <w:rPr>
          <w:lang w:val="en_US" w:bidi="en_US"/>
        </w:rPr>
      </w:r>
      <w:r>
        <w:rPr>
          <w:lang w:val="en_US" w:bidi="en_US"/>
        </w:rPr>
        <w:t xml:space="preserve">the division of the kingdom, and </w:t>
      </w:r>
    </w:p>
    <w:p>
      <w:pPr>
        <w:pStyle w:val="ListNumber"/>
        <w:spacing w:line="240" w:lineRule="auto"/>
        <w:ind w:left="720"/>
      </w:pPr>
      <w:r>
        <w:rPr>
          <w:lang w:val="en_US" w:bidi="en_US"/>
        </w:rPr>
      </w:r>
      <w:r>
        <w:rPr>
          <w:lang w:val="en_US" w:bidi="en_US"/>
        </w:rPr>
        <w:t>the degradation of Israel</w:t>
      </w:r>
    </w:p>
    <w:p>
      <w:pPr>
        <w:pStyle w:val="Heading3"/>
      </w:pPr>
      <w:r>
        <w:rPr>
          <w:lang w:val="en_US" w:bidi="en_US"/>
        </w:rPr>
        <w:t>Author</w:t>
      </w:r>
    </w:p>
    <w:p>
      <w:pPr/>
      <w:r>
        <w:rPr>
          <w:lang w:val="en_US" w:bidi="en_US"/>
        </w:rPr>
      </w:r>
      <w:r>
        <w:rPr>
          <w:lang w:val="en_US" w:bidi="en_US"/>
        </w:rPr>
        <w:t>Unknown</w:t>
      </w:r>
    </w:p>
    <w:p>
      <w:pPr>
        <w:pStyle w:val="Heading3"/>
      </w:pPr>
      <w:r>
        <w:rPr>
          <w:lang w:val="en_US" w:bidi="en_US"/>
        </w:rPr>
        <w:t>Date</w:t>
      </w:r>
    </w:p>
    <w:p>
      <w:pPr/>
      <w:r>
        <w:rPr>
          <w:lang w:val="en_US" w:bidi="en_US"/>
        </w:rPr>
      </w:r>
      <w:r>
        <w:rPr>
          <w:lang w:val="en_US" w:bidi="en_US"/>
        </w:rPr>
        <w:t>Records events that occurred around 973–853 BC</w:t>
      </w:r>
    </w:p>
    <w:p>
      <w:pPr>
        <w:pStyle w:val="Heading3"/>
      </w:pPr>
      <w:r>
        <w:rPr>
          <w:lang w:val="en_US" w:bidi="en_US"/>
        </w:rPr>
        <w:t>Setting</w:t>
      </w:r>
    </w:p>
    <w:p>
      <w:pPr/>
      <w:r>
        <w:rPr>
          <w:lang w:val="en_US" w:bidi="en_US"/>
        </w:rPr>
      </w:r>
      <w:r>
        <w:rPr>
          <w:lang w:val="en_US" w:bidi="en_US"/>
        </w:rPr>
        <w:t>Begins at the high point of the Israelite monarchy (Solomon’s reign) and ends with a divided kingdom and a low point in the Israelite monarchy (Ahab’s reign)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