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Jonah</w:t>
      </w:r>
      <w:r>
        <w:rPr>
          <w:lang w:val="en_US" w:bidi="en_US"/>
        </w:rPr>
      </w:r>
    </w:p>
    <w:p>
      <w:pPr>
        <w:pStyle w:val="Heading3"/>
      </w:pPr>
      <w:r>
        <w:rPr>
          <w:lang w:val="en_US" w:bidi="en_US"/>
        </w:rPr>
        <w:t>Purpose</w:t>
      </w:r>
    </w:p>
    <w:p>
      <w:pPr/>
      <w:r>
        <w:rPr>
          <w:lang w:val="en_US" w:bidi="en_US"/>
        </w:rPr>
      </w:r>
      <w:r>
        <w:rPr>
          <w:lang w:val="en_US" w:bidi="en_US"/>
        </w:rPr>
        <w:t>To recount a story of the far-reaching scope of God’s sovereignty (power and authority to rule) and salvation</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Around 755 BC</w:t>
      </w:r>
    </w:p>
    <w:p>
      <w:pPr>
        <w:pStyle w:val="Heading3"/>
      </w:pPr>
      <w:r>
        <w:rPr>
          <w:lang w:val="en_US" w:bidi="en_US"/>
        </w:rPr>
        <w:t>Setting</w:t>
      </w:r>
    </w:p>
    <w:p>
      <w:pPr/>
      <w:r>
        <w:rPr>
          <w:lang w:val="en_US" w:bidi="en_US"/>
        </w:rPr>
      </w:r>
      <w:r>
        <w:rPr>
          <w:lang w:val="en_US" w:bidi="en_US"/>
        </w:rPr>
        <w:t>A time when Assyria’s influence in Israel had temporarily decreased, likely during the reign of Jeroboam II</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