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 (Book Intro Summaries)</w:t>
      </w:r>
      <w:r>
        <w:rPr>
          <w:lang w:val="en_US" w:bidi="en_US"/>
        </w:rPr>
      </w:r>
    </w:p>
    <w:p>
      <w:pPr/>
      <w:r>
        <w:rPr>
          <w:lang w:val="en_US" w:bidi="en_US"/>
        </w:rPr>
      </w:r>
      <w:r>
        <w:rPr>
          <w:b/>
          <w:lang w:val="en_US" w:bidi="en_US"/>
        </w:rPr>
        <w:t>Aquifer Open Study Notes (Book Intro Summaries)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2JN</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2 John</w:t>
      </w:r>
      <w:r>
        <w:rPr>
          <w:lang w:val="en_US" w:bidi="en_US"/>
        </w:rPr>
      </w:r>
    </w:p>
    <w:p>
      <w:pPr>
        <w:pStyle w:val="Heading3"/>
      </w:pPr>
      <w:r>
        <w:rPr>
          <w:lang w:val="en_US" w:bidi="en_US"/>
        </w:rPr>
        <w:t>Purpose</w:t>
      </w:r>
    </w:p>
    <w:p>
      <w:pPr>
        <w:pStyle w:val="ListNumber"/>
        <w:numPr>
          <w:ilvl w:val="0"/>
          <w:numId w:val="14"/>
        </w:numPr>
        <w:spacing w:line="240" w:lineRule="auto"/>
        <w:ind w:left="720"/>
      </w:pPr>
      <w:r>
        <w:rPr>
          <w:lang w:val="en_US" w:bidi="en_US"/>
        </w:rPr>
      </w:r>
      <w:r>
        <w:rPr>
          <w:lang w:val="en_US" w:bidi="en_US"/>
        </w:rPr>
        <w:t xml:space="preserve">To outline the appropriate response to false teachers </w:t>
      </w:r>
    </w:p>
    <w:p>
      <w:pPr>
        <w:pStyle w:val="ListNumber"/>
        <w:spacing w:line="240" w:lineRule="auto"/>
        <w:ind w:left="720"/>
      </w:pPr>
      <w:r>
        <w:rPr>
          <w:lang w:val="en_US" w:bidi="en_US"/>
        </w:rPr>
      </w:r>
      <w:r>
        <w:rPr>
          <w:lang w:val="en_US" w:bidi="en_US"/>
        </w:rPr>
        <w:t>To encourage believers to love one another</w:t>
      </w:r>
    </w:p>
    <w:p>
      <w:pPr>
        <w:pStyle w:val="Heading3"/>
      </w:pPr>
      <w:r>
        <w:rPr>
          <w:lang w:val="en_US" w:bidi="en_US"/>
        </w:rPr>
        <w:t>Author</w:t>
      </w:r>
    </w:p>
    <w:p>
      <w:pPr/>
      <w:r>
        <w:rPr>
          <w:lang w:val="en_US" w:bidi="en_US"/>
        </w:rPr>
      </w:r>
      <w:r>
        <w:rPr>
          <w:lang w:val="en_US" w:bidi="en_US"/>
        </w:rPr>
        <w:t>Likely the apostle John</w:t>
      </w:r>
    </w:p>
    <w:p>
      <w:pPr>
        <w:pStyle w:val="Heading3"/>
      </w:pPr>
      <w:r>
        <w:rPr>
          <w:lang w:val="en_US" w:bidi="en_US"/>
        </w:rPr>
        <w:t>Date</w:t>
      </w:r>
    </w:p>
    <w:p>
      <w:pPr/>
      <w:r>
        <w:rPr>
          <w:lang w:val="en_US" w:bidi="en_US"/>
        </w:rPr>
      </w:r>
      <w:r>
        <w:rPr>
          <w:lang w:val="en_US" w:bidi="en_US"/>
        </w:rPr>
        <w:t>Around AD 85–90</w:t>
      </w:r>
    </w:p>
    <w:p>
      <w:pPr>
        <w:pStyle w:val="Heading3"/>
      </w:pPr>
      <w:r>
        <w:rPr>
          <w:lang w:val="en_US" w:bidi="en_US"/>
        </w:rPr>
        <w:t>Setting</w:t>
      </w:r>
    </w:p>
    <w:p>
      <w:pPr/>
      <w:r>
        <w:rPr>
          <w:lang w:val="en_US" w:bidi="en_US"/>
        </w:rPr>
      </w:r>
      <w:r>
        <w:rPr>
          <w:lang w:val="en_US" w:bidi="en_US"/>
        </w:rPr>
        <w:t>Written to a community of believers (probably in Asia Minor) who had either already encountered false teachers or were likely to do so soon</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