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w:t>
      </w:r>
      <w:r>
        <w:rPr>
          <w:lang w:val="fr_FR" w:bidi="fr_FR"/>
        </w:rPr>
      </w:r>
    </w:p>
    <w:p>
      <w:pPr/>
      <w:r>
        <w:rPr>
          <w:lang w:val="fr_FR" w:bidi="fr_FR"/>
        </w:rPr>
      </w:r>
      <w:r>
        <w:rPr>
          <w:lang w:val="fr_FR" w:bidi="fr_FR"/>
        </w:rPr>
        <w:t>Le livre des Psaumes</w:t>
      </w:r>
    </w:p>
    <w:p>
      <w:pPr>
        <w:pStyle w:val="Heading3"/>
      </w:pPr>
      <w:r>
        <w:rPr>
          <w:lang w:val="fr_FR" w:bidi="fr_FR"/>
        </w:rPr>
        <w:t>Dessein</w:t>
      </w:r>
    </w:p>
    <w:p>
      <w:pPr/>
      <w:r>
        <w:rPr>
          <w:lang w:val="fr_FR" w:bidi="fr_FR"/>
        </w:rPr>
      </w:r>
      <w:r>
        <w:rPr>
          <w:lang w:val="fr_FR" w:bidi="fr_FR"/>
        </w:rPr>
        <w:t>Louer et prier Dieu, offrir à son peuple des textes pour l’adoration, faire réfléchir à la souveraineté de Dieu et à certaines questions existentielles les plus difficiles</w:t>
      </w:r>
    </w:p>
    <w:p>
      <w:pPr>
        <w:pStyle w:val="Heading3"/>
      </w:pPr>
      <w:r>
        <w:rPr>
          <w:lang w:val="fr_FR" w:bidi="fr_FR"/>
        </w:rPr>
        <w:t>Auteur</w:t>
      </w:r>
    </w:p>
    <w:p>
      <w:pPr/>
      <w:r>
        <w:rPr>
          <w:lang w:val="fr_FR" w:bidi="fr_FR"/>
        </w:rPr>
      </w:r>
      <w:r>
        <w:rPr>
          <w:lang w:val="fr_FR" w:bidi="fr_FR"/>
        </w:rPr>
        <w:t>Divers ; presque la moitié des Psaumes sont en lien avec David</w:t>
      </w:r>
    </w:p>
    <w:p>
      <w:pPr>
        <w:pStyle w:val="Heading3"/>
      </w:pPr>
      <w:r>
        <w:rPr>
          <w:lang w:val="fr_FR" w:bidi="fr_FR"/>
        </w:rPr>
        <w:t>Date</w:t>
      </w:r>
    </w:p>
    <w:p>
      <w:pPr/>
      <w:r>
        <w:rPr>
          <w:lang w:val="fr_FR" w:bidi="fr_FR"/>
        </w:rPr>
      </w:r>
      <w:r>
        <w:rPr>
          <w:lang w:val="fr_FR" w:bidi="fr_FR"/>
        </w:rPr>
        <w:t>Écrit au cours de plusieurs siècles ; le processus de collecte et d’édition a probablement été achevé après l’exil babylonien</w:t>
      </w:r>
    </w:p>
    <w:p>
      <w:pPr>
        <w:pStyle w:val="Heading3"/>
      </w:pPr>
      <w:r>
        <w:rPr>
          <w:lang w:val="fr_FR" w:bidi="fr_FR"/>
        </w:rPr>
        <w:t>Cadre</w:t>
      </w:r>
    </w:p>
    <w:p>
      <w:pPr/>
      <w:r>
        <w:rPr>
          <w:lang w:val="fr_FR" w:bidi="fr_FR"/>
        </w:rPr>
      </w:r>
      <w:r>
        <w:rPr>
          <w:lang w:val="fr_FR" w:bidi="fr_FR"/>
        </w:rPr>
        <w:t>Divers, mais l’activité éditoriale et la compilation des Psaumes s’est faite essentiellement dans un cadre post-exil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