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Ezéchiel</w:t>
      </w:r>
      <w:r>
        <w:rPr>
          <w:lang w:val="fr_FR" w:bidi="fr_FR"/>
        </w:rPr>
      </w:r>
    </w:p>
    <w:p>
      <w:pPr/>
      <w:r>
        <w:rPr>
          <w:lang w:val="fr_FR" w:bidi="fr_FR"/>
        </w:rPr>
      </w:r>
      <w:r>
        <w:rPr>
          <w:lang w:val="fr_FR" w:bidi="fr_FR"/>
        </w:rPr>
        <w:t>Le livre d’Ezéchiel</w:t>
      </w:r>
    </w:p>
    <w:p>
      <w:pPr>
        <w:pStyle w:val="Heading3"/>
      </w:pPr>
      <w:r>
        <w:rPr>
          <w:lang w:val="fr_FR" w:bidi="fr_FR"/>
        </w:rPr>
        <w:t>Dessein</w:t>
      </w:r>
    </w:p>
    <w:p>
      <w:pPr/>
      <w:r>
        <w:rPr>
          <w:lang w:val="fr_FR" w:bidi="fr_FR"/>
        </w:rPr>
      </w:r>
      <w:r>
        <w:rPr>
          <w:lang w:val="fr_FR" w:bidi="fr_FR"/>
        </w:rPr>
        <w:t>Annoncer le jugement imminent de Juda et offrir de l’espérance après la destruction de Jérusalem</w:t>
      </w:r>
    </w:p>
    <w:p>
      <w:pPr>
        <w:pStyle w:val="Heading3"/>
      </w:pPr>
      <w:r>
        <w:rPr>
          <w:lang w:val="fr_FR" w:bidi="fr_FR"/>
        </w:rPr>
        <w:t>Auteur</w:t>
      </w:r>
    </w:p>
    <w:p>
      <w:pPr/>
      <w:r>
        <w:rPr>
          <w:lang w:val="fr_FR" w:bidi="fr_FR"/>
        </w:rPr>
      </w:r>
      <w:r>
        <w:rPr>
          <w:lang w:val="fr_FR" w:bidi="fr_FR"/>
        </w:rPr>
        <w:t>Ezéchiel</w:t>
      </w:r>
    </w:p>
    <w:p>
      <w:pPr>
        <w:pStyle w:val="Heading3"/>
      </w:pPr>
      <w:r>
        <w:rPr>
          <w:lang w:val="fr_FR" w:bidi="fr_FR"/>
        </w:rPr>
        <w:t>Date</w:t>
      </w:r>
    </w:p>
    <w:p>
      <w:pPr/>
      <w:r>
        <w:rPr>
          <w:lang w:val="fr_FR" w:bidi="fr_FR"/>
        </w:rPr>
      </w:r>
      <w:r>
        <w:rPr>
          <w:lang w:val="fr_FR" w:bidi="fr_FR"/>
        </w:rPr>
        <w:t>Vers 593–571 av. J.-C.</w:t>
      </w:r>
    </w:p>
    <w:p>
      <w:pPr>
        <w:pStyle w:val="Heading3"/>
      </w:pPr>
      <w:r>
        <w:rPr>
          <w:lang w:val="fr_FR" w:bidi="fr_FR"/>
        </w:rPr>
        <w:t>Cadre</w:t>
      </w:r>
    </w:p>
    <w:p>
      <w:pPr/>
      <w:r>
        <w:rPr>
          <w:lang w:val="fr_FR" w:bidi="fr_FR"/>
        </w:rPr>
      </w:r>
      <w:r>
        <w:rPr>
          <w:lang w:val="fr_FR" w:bidi="fr_FR"/>
        </w:rPr>
        <w:t>L’exil babylonien, immédiatement avant, pendant et après la destruction de Jérusalem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