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 Summaries)</w:t>
      </w:r>
      <w:r>
        <w:rPr>
          <w:lang w:val="hi_IN" w:bidi="hi_IN"/>
        </w:rPr>
      </w:r>
    </w:p>
    <w:p>
      <w:pPr/>
      <w:r>
        <w:rPr>
          <w:lang w:val="hi_IN" w:bidi="hi_IN"/>
        </w:rPr>
      </w:r>
      <w:r>
        <w:rPr>
          <w:b/>
          <w:lang w:val="hi_IN" w:bidi="hi_IN"/>
        </w:rPr>
        <w:t>Aquifer Open Study Notes (Book Intro Summaries)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1SA</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1 शमूएल</w:t>
      </w:r>
      <w:r>
        <w:rPr>
          <w:lang w:val="hi_IN" w:bidi="hi_IN"/>
        </w:rPr>
      </w:r>
    </w:p>
    <w:p>
      <w:pPr/>
      <w:r>
        <w:rPr>
          <w:lang w:val="hi_IN" w:bidi="hi_IN"/>
        </w:rPr>
      </w:r>
      <w:r>
        <w:rPr>
          <w:lang w:val="hi_IN" w:bidi="hi_IN"/>
        </w:rPr>
        <w:t>शमूएल की पहली पुस्तक</w:t>
      </w:r>
    </w:p>
    <w:p>
      <w:pPr>
        <w:pStyle w:val="Heading3"/>
      </w:pPr>
      <w:r>
        <w:rPr>
          <w:lang w:val="hi_IN" w:bidi="hi_IN"/>
        </w:rPr>
        <w:t>उद्देश्य</w:t>
      </w:r>
    </w:p>
    <w:p>
      <w:pPr/>
      <w:r>
        <w:rPr>
          <w:lang w:val="hi_IN" w:bidi="hi_IN"/>
        </w:rPr>
      </w:r>
      <w:r>
        <w:rPr>
          <w:lang w:val="hi_IN" w:bidi="hi_IN"/>
        </w:rPr>
        <w:t>इस्राएली साम्राज्य की स्थापना का वर्णन करना और इस्राएल के पहले दो राजाओं के भिन्न चरित्र पर प्रकाश डालना</w:t>
      </w:r>
    </w:p>
    <w:p>
      <w:pPr>
        <w:pStyle w:val="Heading3"/>
      </w:pPr>
      <w:r>
        <w:rPr>
          <w:lang w:val="hi_IN" w:bidi="hi_IN"/>
        </w:rPr>
        <w:t>लेखक</w:t>
      </w:r>
    </w:p>
    <w:p>
      <w:pPr/>
      <w:r>
        <w:rPr>
          <w:lang w:val="hi_IN" w:bidi="hi_IN"/>
        </w:rPr>
      </w:r>
      <w:r>
        <w:rPr>
          <w:lang w:val="hi_IN" w:bidi="hi_IN"/>
        </w:rPr>
        <w:t>अज्ञात</w:t>
      </w:r>
    </w:p>
    <w:p>
      <w:pPr>
        <w:pStyle w:val="Heading3"/>
      </w:pPr>
      <w:r>
        <w:rPr>
          <w:lang w:val="hi_IN" w:bidi="hi_IN"/>
        </w:rPr>
        <w:t>तिथि</w:t>
      </w:r>
    </w:p>
    <w:p>
      <w:pPr/>
      <w:r>
        <w:rPr>
          <w:lang w:val="hi_IN" w:bidi="hi_IN"/>
        </w:rPr>
      </w:r>
      <w:r>
        <w:rPr>
          <w:lang w:val="hi_IN" w:bidi="hi_IN"/>
        </w:rPr>
        <w:t>1050–1011 ई. पू. के आसपास घटी घटनाओं को दर्ज करता है</w:t>
      </w:r>
    </w:p>
    <w:p>
      <w:pPr>
        <w:pStyle w:val="Heading3"/>
      </w:pPr>
      <w:r>
        <w:rPr>
          <w:lang w:val="hi_IN" w:bidi="hi_IN"/>
        </w:rPr>
        <w:t>घटनास्थल</w:t>
      </w:r>
    </w:p>
    <w:p>
      <w:pPr/>
      <w:r>
        <w:rPr>
          <w:lang w:val="hi_IN" w:bidi="hi_IN"/>
        </w:rPr>
      </w:r>
      <w:r>
        <w:rPr>
          <w:lang w:val="hi_IN" w:bidi="hi_IN"/>
        </w:rPr>
        <w:t>न्यायियों के समय काल से इस्राएली साम्राज्य में परिवर्तित होने के समय</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