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PSA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भजन संहिता</w:t>
      </w:r>
      <w:r>
        <w:rPr>
          <w:lang w:val="hi_IN" w:bidi="hi_IN"/>
        </w:rPr>
      </w:r>
    </w:p>
    <w:p>
      <w:pPr/>
      <w:r>
        <w:rPr>
          <w:lang w:val="hi_IN" w:bidi="hi_IN"/>
        </w:rPr>
      </w:r>
      <w:r>
        <w:rPr>
          <w:lang w:val="hi_IN" w:bidi="hi_IN"/>
        </w:rPr>
        <w:t>भजन संहिता की पुस्तक</w:t>
      </w:r>
    </w:p>
    <w:p>
      <w:pPr>
        <w:pStyle w:val="Heading3"/>
      </w:pPr>
      <w:r>
        <w:rPr>
          <w:lang w:val="hi_IN" w:bidi="hi_IN"/>
        </w:rPr>
        <w:t>उद्देश्य</w:t>
      </w:r>
    </w:p>
    <w:p>
      <w:pPr/>
      <w:r>
        <w:rPr>
          <w:lang w:val="hi_IN" w:bidi="hi_IN"/>
        </w:rPr>
      </w:r>
      <w:r>
        <w:rPr>
          <w:lang w:val="hi_IN" w:bidi="hi_IN"/>
        </w:rPr>
        <w:t>परमेश्वर की स्तुति और प्रार्थना करना, परमेश्वर के लोगों को आराधना के लिए वचन प्रदान करना, और परमेश्वर के प्रभुत्व और जीवन के कुछ सबसे कठिन प्रशनों पर विचार प्रदान करना</w:t>
      </w:r>
    </w:p>
    <w:p>
      <w:pPr>
        <w:pStyle w:val="Heading3"/>
      </w:pPr>
      <w:r>
        <w:rPr>
          <w:lang w:val="hi_IN" w:bidi="hi_IN"/>
        </w:rPr>
        <w:t>लेखक</w:t>
      </w:r>
    </w:p>
    <w:p>
      <w:pPr/>
      <w:r>
        <w:rPr>
          <w:lang w:val="hi_IN" w:bidi="hi_IN"/>
        </w:rPr>
      </w:r>
      <w:r>
        <w:rPr>
          <w:lang w:val="hi_IN" w:bidi="hi_IN"/>
        </w:rPr>
        <w:t>विभिन्न; लगभग आध भजनों के लिए श्रेय दाऊद को जाता है</w:t>
      </w:r>
    </w:p>
    <w:p>
      <w:pPr>
        <w:pStyle w:val="Heading3"/>
      </w:pPr>
      <w:r>
        <w:rPr>
          <w:lang w:val="hi_IN" w:bidi="hi_IN"/>
        </w:rPr>
        <w:t>तिथि</w:t>
      </w:r>
    </w:p>
    <w:p>
      <w:pPr/>
      <w:r>
        <w:rPr>
          <w:lang w:val="hi_IN" w:bidi="hi_IN"/>
        </w:rPr>
      </w:r>
      <w:r>
        <w:rPr>
          <w:lang w:val="hi_IN" w:bidi="hi_IN"/>
        </w:rPr>
        <w:t>कई शताब्दियों के दौरान लिखित; एकत्रित करने और सम्पादन की प्रक्रिया संभवतः बाबेली के निर्वासन के बाद पूरी हुई</w:t>
      </w:r>
    </w:p>
    <w:p>
      <w:pPr>
        <w:pStyle w:val="Heading3"/>
      </w:pPr>
      <w:r>
        <w:rPr>
          <w:lang w:val="hi_IN" w:bidi="hi_IN"/>
        </w:rPr>
        <w:t>घटनास्थल</w:t>
      </w:r>
    </w:p>
    <w:p>
      <w:pPr/>
      <w:r>
        <w:rPr>
          <w:lang w:val="hi_IN" w:bidi="hi_IN"/>
        </w:rPr>
      </w:r>
      <w:r>
        <w:rPr>
          <w:lang w:val="hi_IN" w:bidi="hi_IN"/>
        </w:rPr>
        <w:t>विभिन्न; किन्तु निर्वासन के बाद की परिस्थितियाँ अधिकतर हुई संपादकीय गतिविधि और भजनों क संबंधित समूहों में रखे जाने का कारण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