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HAG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हाग्गै</w:t>
      </w:r>
      <w:r>
        <w:rPr>
          <w:lang w:val="hi_IN" w:bidi="hi_IN"/>
        </w:rPr>
      </w:r>
    </w:p>
    <w:p>
      <w:pPr/>
      <w:r>
        <w:rPr>
          <w:lang w:val="hi_IN" w:bidi="hi_IN"/>
        </w:rPr>
      </w:r>
      <w:r>
        <w:rPr>
          <w:lang w:val="hi_IN" w:bidi="hi_IN"/>
        </w:rPr>
        <w:t>हाग्गै की पुस्तक</w:t>
      </w:r>
    </w:p>
    <w:p>
      <w:pPr>
        <w:pStyle w:val="Heading3"/>
      </w:pPr>
      <w:r>
        <w:rPr>
          <w:lang w:val="hi_IN" w:bidi="hi_IN"/>
        </w:rPr>
        <w:t>उद्देश्य</w:t>
      </w:r>
    </w:p>
    <w:p>
      <w:pPr/>
      <w:r>
        <w:rPr>
          <w:lang w:val="hi_IN" w:bidi="hi_IN"/>
        </w:rPr>
      </w:r>
      <w:r>
        <w:rPr>
          <w:lang w:val="hi_IN" w:bidi="hi_IN"/>
        </w:rPr>
        <w:t>यहूदियों को मंदिर के पुनर्निर्माण का काम पुनः आरंभ करने के लिए उत्साहित करना और आत्मिक जागृति के लिए प्रोत्साहित करना</w:t>
      </w:r>
    </w:p>
    <w:p>
      <w:pPr>
        <w:pStyle w:val="Heading3"/>
      </w:pPr>
      <w:r>
        <w:rPr>
          <w:lang w:val="hi_IN" w:bidi="hi_IN"/>
        </w:rPr>
        <w:t>लेखक</w:t>
      </w:r>
    </w:p>
    <w:p>
      <w:pPr/>
      <w:r>
        <w:rPr>
          <w:lang w:val="hi_IN" w:bidi="hi_IN"/>
        </w:rPr>
      </w:r>
      <w:r>
        <w:rPr>
          <w:lang w:val="hi_IN" w:bidi="hi_IN"/>
        </w:rPr>
        <w:t>हाग्गै</w:t>
      </w:r>
    </w:p>
    <w:p>
      <w:pPr>
        <w:pStyle w:val="Heading3"/>
      </w:pPr>
      <w:r>
        <w:rPr>
          <w:lang w:val="hi_IN" w:bidi="hi_IN"/>
        </w:rPr>
        <w:t>तिथि</w:t>
      </w:r>
    </w:p>
    <w:p>
      <w:pPr/>
      <w:r>
        <w:rPr>
          <w:lang w:val="hi_IN" w:bidi="hi_IN"/>
        </w:rPr>
      </w:r>
      <w:r>
        <w:rPr>
          <w:lang w:val="hi_IN" w:bidi="hi_IN"/>
        </w:rPr>
        <w:t>520 ई. पू.</w:t>
      </w:r>
    </w:p>
    <w:p>
      <w:pPr>
        <w:pStyle w:val="Heading3"/>
      </w:pPr>
      <w:r>
        <w:rPr>
          <w:lang w:val="hi_IN" w:bidi="hi_IN"/>
        </w:rPr>
        <w:t>घटनास्थल</w:t>
      </w:r>
    </w:p>
    <w:p>
      <w:pPr/>
      <w:r>
        <w:rPr>
          <w:lang w:val="hi_IN" w:bidi="hi_IN"/>
        </w:rPr>
      </w:r>
      <w:r>
        <w:rPr>
          <w:lang w:val="hi_IN" w:bidi="hi_IN"/>
        </w:rPr>
        <w:t>यरूशलेम, कुस्रू के यहूदियों को लौटने देने और मंदिर का पुनर्निर्माण करने की अनुमति देने के लगभग बीस वर्ष बाद</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